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4884" w:leader="none"/>
        </w:tabs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宋体" w:hAnsi="宋体" w:eastAsia="宋体" w:cs="宋体" w:hint="eastAsia"/>
          <w:b/>
          <w:bCs/>
          <w:color w:val="000000"/>
          <w:sz w:val="32"/>
          <w:szCs w:val="32"/>
        </w:rPr>
      </w:pPr>
      <w:r>
        <w:rPr>
          <w:rFonts w:eastAsia="宋体" w:cs="宋体" w:hint="eastAsia" w:ascii="宋体" w:hAnsi="宋体"/>
          <w:b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4884" w:leader="none"/>
        </w:tabs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宋体" w:hAnsi="宋体" w:eastAsia="宋体" w:cs="宋体" w:hint="eastAsia"/>
          <w:b/>
          <w:bCs/>
          <w:color w:val="000000"/>
          <w:sz w:val="32"/>
          <w:szCs w:val="32"/>
        </w:rPr>
      </w:pPr>
      <w:r>
        <w:rPr>
          <w:rFonts w:eastAsia="宋体" w:cs="宋体" w:hint="eastAsia" w:ascii="宋体" w:hAnsi="宋体"/>
          <w:b/>
          <w:bCs/>
          <w:color w:val="000000"/>
          <w:sz w:val="32"/>
          <w:szCs w:val="32"/>
        </w:rPr>
      </w:r>
    </w:p>
    <w:p>
      <w:pPr>
        <w:pStyle w:val="Normal"/>
        <w:jc w:val="center"/>
        <w:rPr>
          <w:rFonts w:ascii="宋体" w:hAnsi="宋体" w:cs="宋体" w:hint="eastAsia"/>
          <w:b/>
          <w:bCs/>
          <w:sz w:val="44"/>
          <w:szCs w:val="44"/>
        </w:rPr>
      </w:pPr>
      <w:r>
        <w:rPr>
          <w:rFonts w:ascii="宋体" w:hAnsi="宋体" w:cs="宋体" w:hint="eastAsia" w:eastAsia="宋体"/>
          <w:b/>
          <w:bCs/>
          <w:sz w:val="44"/>
          <w:szCs w:val="44"/>
        </w:rPr>
        <w:t>白山市文明祭祀条例</w:t>
      </w:r>
    </w:p>
    <w:p>
      <w:pPr>
        <w:pStyle w:val="New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jc w:val="both"/>
        <w:textAlignment w:val="auto"/>
        <w:rPr>
          <w:rFonts w:ascii="楷体_GB2312" w:hAnsi="楷体_GB2312" w:eastAsia="楷体_GB2312" w:cs="楷体_GB2312" w:hint="eastAsia"/>
          <w:b/>
          <w:bCs/>
          <w:spacing w:val="2"/>
          <w:w w:val="80"/>
          <w:kern w:val="0"/>
          <w:sz w:val="32"/>
          <w:szCs w:val="32"/>
        </w:rPr>
      </w:pPr>
      <w:r>
        <w:rPr>
          <w:rFonts w:eastAsia="楷体_GB2312" w:cs="楷体_GB2312" w:hint="eastAsia" w:ascii="楷体_GB2312" w:hAnsi="楷体_GB2312"/>
          <w:b/>
          <w:bCs/>
          <w:spacing w:val="2"/>
          <w:w w:val="80"/>
          <w:kern w:val="0"/>
          <w:sz w:val="32"/>
          <w:szCs w:val="32"/>
        </w:rPr>
      </w:r>
    </w:p>
    <w:p>
      <w:pPr>
        <w:pStyle w:val="New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楷体_GB2312" w:hAnsi="楷体_GB2312" w:eastAsia="楷体_GB2312" w:cs="楷体_GB2312" w:hint="eastAsia"/>
          <w:spacing w:val="2"/>
          <w:w w:val="80"/>
          <w:kern w:val="0"/>
          <w:sz w:val="32"/>
          <w:szCs w:val="32"/>
        </w:rPr>
      </w:pPr>
      <w:r>
        <w:rPr>
          <w:rFonts w:ascii="楷体_GB2312" w:hAnsi="楷体_GB2312" w:cs="楷体_GB2312" w:hint="eastAsia" w:eastAsia="楷体_GB2312"/>
          <w:spacing w:val="2"/>
          <w:w w:val="80"/>
          <w:kern w:val="0"/>
          <w:sz w:val="32"/>
          <w:szCs w:val="32"/>
        </w:rPr>
        <w:t>（</w:t>
      </w:r>
      <w:r>
        <w:rPr>
          <w:rFonts w:eastAsia="楷体_GB2312" w:cs="楷体_GB2312" w:hint="eastAsia" w:ascii="楷体_GB2312" w:hAnsi="楷体_GB2312"/>
          <w:spacing w:val="2"/>
          <w:w w:val="80"/>
          <w:kern w:val="0"/>
          <w:sz w:val="32"/>
          <w:szCs w:val="32"/>
        </w:rPr>
        <w:t>2020</w:t>
      </w:r>
      <w:r>
        <w:rPr>
          <w:rFonts w:ascii="楷体_GB2312" w:hAnsi="楷体_GB2312" w:cs="楷体_GB2312" w:hint="eastAsia" w:eastAsia="楷体_GB2312"/>
          <w:spacing w:val="2"/>
          <w:w w:val="80"/>
          <w:kern w:val="0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pacing w:val="2"/>
          <w:w w:val="80"/>
          <w:kern w:val="0"/>
          <w:sz w:val="32"/>
          <w:szCs w:val="32"/>
        </w:rPr>
        <w:t>10</w:t>
      </w:r>
      <w:r>
        <w:rPr>
          <w:rFonts w:ascii="楷体_GB2312" w:hAnsi="楷体_GB2312" w:cs="楷体_GB2312" w:hint="eastAsia" w:eastAsia="楷体_GB2312"/>
          <w:spacing w:val="2"/>
          <w:w w:val="80"/>
          <w:kern w:val="0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pacing w:val="2"/>
          <w:w w:val="80"/>
          <w:kern w:val="0"/>
          <w:sz w:val="32"/>
          <w:szCs w:val="32"/>
        </w:rPr>
        <w:t>23</w:t>
      </w:r>
      <w:r>
        <w:rPr>
          <w:rFonts w:ascii="楷体_GB2312" w:hAnsi="楷体_GB2312" w:cs="楷体_GB2312" w:hint="eastAsia" w:eastAsia="楷体_GB2312"/>
          <w:spacing w:val="2"/>
          <w:w w:val="80"/>
          <w:kern w:val="0"/>
          <w:sz w:val="32"/>
          <w:szCs w:val="32"/>
        </w:rPr>
        <w:t>日白山市第八届人民代表大会常务委员会第三十二次</w:t>
      </w:r>
    </w:p>
    <w:p>
      <w:pPr>
        <w:pStyle w:val="New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楷体_GB2312" w:hAnsi="楷体_GB2312" w:eastAsia="楷体_GB2312" w:cs="楷体_GB2312" w:hint="eastAsia"/>
          <w:spacing w:val="2"/>
          <w:w w:val="80"/>
          <w:kern w:val="0"/>
          <w:sz w:val="32"/>
          <w:szCs w:val="32"/>
        </w:rPr>
      </w:pPr>
      <w:r>
        <w:rPr>
          <w:rFonts w:ascii="楷体_GB2312" w:hAnsi="楷体_GB2312" w:cs="楷体_GB2312" w:hint="eastAsia" w:eastAsia="楷体_GB2312"/>
          <w:spacing w:val="2"/>
          <w:w w:val="80"/>
          <w:kern w:val="0"/>
          <w:sz w:val="32"/>
          <w:szCs w:val="32"/>
        </w:rPr>
        <w:t xml:space="preserve">会议通过  </w:t>
      </w:r>
      <w:r>
        <w:rPr>
          <w:rFonts w:eastAsia="楷体_GB2312" w:cs="楷体_GB2312" w:hint="eastAsia" w:ascii="楷体_GB2312" w:hAnsi="楷体_GB2312"/>
          <w:spacing w:val="2"/>
          <w:w w:val="80"/>
          <w:kern w:val="0"/>
          <w:sz w:val="32"/>
          <w:szCs w:val="32"/>
        </w:rPr>
        <w:t>2020</w:t>
      </w:r>
      <w:r>
        <w:rPr>
          <w:rFonts w:ascii="楷体_GB2312" w:hAnsi="楷体_GB2312" w:cs="楷体_GB2312" w:hint="eastAsia" w:eastAsia="楷体_GB2312"/>
          <w:spacing w:val="2"/>
          <w:w w:val="80"/>
          <w:kern w:val="0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pacing w:val="2"/>
          <w:w w:val="80"/>
          <w:kern w:val="0"/>
          <w:sz w:val="32"/>
          <w:szCs w:val="32"/>
        </w:rPr>
        <w:t>11</w:t>
      </w:r>
      <w:r>
        <w:rPr>
          <w:rFonts w:ascii="楷体_GB2312" w:hAnsi="楷体_GB2312" w:cs="楷体_GB2312" w:hint="eastAsia" w:eastAsia="楷体_GB2312"/>
          <w:spacing w:val="2"/>
          <w:w w:val="80"/>
          <w:kern w:val="0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pacing w:val="2"/>
          <w:w w:val="80"/>
          <w:kern w:val="0"/>
          <w:sz w:val="32"/>
          <w:szCs w:val="32"/>
        </w:rPr>
        <w:t>27</w:t>
      </w:r>
      <w:r>
        <w:rPr>
          <w:rFonts w:ascii="楷体_GB2312" w:hAnsi="楷体_GB2312" w:cs="楷体_GB2312" w:hint="eastAsia" w:eastAsia="楷体_GB2312"/>
          <w:spacing w:val="2"/>
          <w:w w:val="80"/>
          <w:kern w:val="0"/>
          <w:sz w:val="32"/>
          <w:szCs w:val="32"/>
        </w:rPr>
        <w:t>日吉林省第十三届人民代表大会常务委员会</w:t>
      </w:r>
    </w:p>
    <w:p>
      <w:pPr>
        <w:pStyle w:val="New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楷体_GB2312" w:hAnsi="楷体_GB2312" w:eastAsia="楷体_GB2312" w:cs="楷体_GB2312" w:hint="eastAsia"/>
          <w:spacing w:val="2"/>
          <w:w w:val="80"/>
          <w:kern w:val="0"/>
          <w:sz w:val="32"/>
          <w:szCs w:val="32"/>
        </w:rPr>
      </w:pPr>
      <w:r>
        <w:rPr>
          <w:rFonts w:ascii="楷体_GB2312" w:hAnsi="楷体_GB2312" w:cs="楷体_GB2312" w:hint="eastAsia" w:eastAsia="楷体_GB2312"/>
          <w:spacing w:val="2"/>
          <w:w w:val="80"/>
          <w:kern w:val="0"/>
          <w:sz w:val="32"/>
          <w:szCs w:val="32"/>
        </w:rPr>
        <w:t>第二十五次会议批准）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0"/>
        <w:jc w:val="start"/>
        <w:textAlignment w:val="auto"/>
        <w:rPr>
          <w:rFonts w:ascii="宋体" w:hAnsi="宋体" w:eastAsia="宋体" w:cs="宋体" w:hint="eastAsia"/>
          <w:b w:val="false"/>
          <w:bCs w:val="false"/>
          <w:spacing w:val="2"/>
          <w:w w:val="100"/>
          <w:kern w:val="0"/>
          <w:sz w:val="32"/>
          <w:szCs w:val="32"/>
        </w:rPr>
      </w:pPr>
      <w:r>
        <w:rPr>
          <w:rFonts w:eastAsia="宋体" w:cs="宋体" w:hint="eastAsia" w:ascii="宋体" w:hAnsi="宋体"/>
          <w:b w:val="false"/>
          <w:bCs w:val="false"/>
          <w:spacing w:val="2"/>
          <w:w w:val="100"/>
          <w:kern w:val="0"/>
          <w:sz w:val="32"/>
          <w:szCs w:val="32"/>
        </w:rPr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第一条</w:t>
      </w:r>
      <w:r>
        <w:rPr>
          <w:rFonts w:ascii="仿宋_GB2312" w:hAnsi="仿宋_GB2312" w:cs="仿宋_GB2312" w:hint="eastAsia"/>
          <w:sz w:val="32"/>
          <w:szCs w:val="32"/>
        </w:rPr>
        <w:t xml:space="preserve">  </w:t>
      </w:r>
      <w:r>
        <w:rPr>
          <w:rFonts w:ascii="仿宋_GB2312" w:hAnsi="仿宋_GB2312" w:cs="宋体" w:hint="eastAsia"/>
          <w:sz w:val="32"/>
          <w:szCs w:val="32"/>
        </w:rPr>
        <w:t>为了规范祭祀行为，树立文明祭祀新风，推进生态文明城市建设，根据《中华人民共和国大气污染防治法》《殡葬管理条例》等法律法规，结合实际，制定本条例。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第二条</w:t>
      </w:r>
      <w:r>
        <w:rPr>
          <w:rFonts w:ascii="仿宋_GB2312" w:hAnsi="仿宋_GB2312" w:cs="仿宋_GB2312"/>
          <w:sz w:val="32"/>
          <w:szCs w:val="32"/>
        </w:rPr>
        <w:t xml:space="preserve"> </w:t>
      </w:r>
      <w:r>
        <w:rPr>
          <w:rFonts w:ascii="仿宋_GB2312" w:hAnsi="仿宋_GB2312" w:cs="仿宋_GB2312" w:hint="eastAsia"/>
          <w:sz w:val="32"/>
          <w:szCs w:val="32"/>
        </w:rPr>
        <w:t xml:space="preserve"> 浑江区、江源区实行城市化管理区域内的祭祀及制造、销售、使用祭祀用品，适用本条例。实行城市化管理的区域由市人民政府确定并公布。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各县（市）可以参照本条例的规定执行。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第三条</w:t>
      </w:r>
      <w:r>
        <w:rPr>
          <w:rFonts w:ascii="仿宋_GB2312" w:hAnsi="仿宋_GB2312" w:cs="仿宋_GB2312"/>
          <w:sz w:val="32"/>
          <w:szCs w:val="32"/>
        </w:rPr>
        <w:t xml:space="preserve"> </w:t>
      </w:r>
      <w:r>
        <w:rPr>
          <w:rFonts w:ascii="仿宋_GB2312" w:hAnsi="仿宋_GB2312" w:cs="仿宋_GB2312" w:hint="eastAsia"/>
          <w:sz w:val="32"/>
          <w:szCs w:val="32"/>
        </w:rPr>
        <w:t xml:space="preserve"> 本条例所称祭祀，是指对逝者进行追悼、安葬和葬后追思、悼念等活动。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第四条</w:t>
      </w:r>
      <w:r>
        <w:rPr>
          <w:rFonts w:ascii="仿宋_GB2312" w:hAnsi="仿宋_GB2312" w:cs="仿宋_GB2312" w:hint="eastAsia"/>
          <w:sz w:val="32"/>
          <w:szCs w:val="32"/>
        </w:rPr>
        <w:t xml:space="preserve">  </w:t>
      </w:r>
      <w:r>
        <w:rPr>
          <w:rFonts w:ascii="仿宋_GB2312" w:hAnsi="仿宋_GB2312" w:cs="仿宋_GB2312" w:hint="eastAsia"/>
          <w:sz w:val="32"/>
          <w:szCs w:val="32"/>
        </w:rPr>
        <w:t>倡导采用鲜花祭拜、植树绿化、踏青遥祭、撰写祭文、家庭追思、网络祭奠等方式文明祭祀。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 xml:space="preserve">第五条 </w:t>
      </w:r>
      <w:r>
        <w:rPr>
          <w:rFonts w:ascii="仿宋_GB2312" w:hAnsi="仿宋_GB2312" w:cs="仿宋_GB2312"/>
          <w:sz w:val="32"/>
          <w:szCs w:val="32"/>
        </w:rPr>
        <w:t xml:space="preserve"> </w:t>
      </w:r>
      <w:r>
        <w:rPr>
          <w:rFonts w:ascii="仿宋_GB2312" w:hAnsi="仿宋_GB2312" w:cs="仿宋_GB2312" w:hint="eastAsia"/>
          <w:sz w:val="32"/>
          <w:szCs w:val="32"/>
        </w:rPr>
        <w:t>各级人民政府应当加强组织领导，建立部门联动机制，统筹文明祭祀管理工作中的重大事项。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民政部门负责文明祭祀管理工作，会同市场监督管理部门查处制造、销售封建迷信祭祀用品行为。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城市管理行政执法部门负责查处焚烧、抛撒封建迷信祭祀用品行为。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林业、公安、应急管理等部门按照各自职责做好文明祭祀管理相关工作。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乡（镇）人民政府、街道办事处应当做好本辖区内的文明祭祀管理相关工作。</w:t>
      </w:r>
    </w:p>
    <w:p>
      <w:pPr>
        <w:pStyle w:val="Normal"/>
        <w:rPr>
          <w:rFonts w:ascii="仿宋_GB2312" w:hAnsi="仿宋_GB2312" w:eastAsia="仿宋_GB2312" w:cs="Times New Roman"/>
          <w:sz w:val="32"/>
          <w:szCs w:val="32"/>
        </w:rPr>
      </w:pPr>
      <w:r>
        <w:rPr>
          <w:rFonts w:eastAsia="仿宋_GB2312" w:cs="仿宋_GB2312" w:ascii="仿宋_GB2312" w:hAnsi="仿宋_GB2312"/>
          <w:sz w:val="32"/>
          <w:szCs w:val="32"/>
        </w:rPr>
        <w:t xml:space="preserve">  </w:t>
      </w:r>
      <w:r>
        <w:rPr>
          <w:rFonts w:eastAsia="仿宋_GB2312" w:cs="仿宋_GB2312" w:ascii="仿宋_GB2312" w:hAnsi="仿宋_GB2312"/>
          <w:b/>
          <w:bCs/>
          <w:sz w:val="32"/>
          <w:szCs w:val="32"/>
        </w:rPr>
        <w:t xml:space="preserve">  </w:t>
      </w: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 xml:space="preserve">第六条 </w:t>
      </w:r>
      <w:r>
        <w:rPr>
          <w:rFonts w:ascii="仿宋_GB2312" w:hAnsi="仿宋_GB2312" w:cs="仿宋_GB2312"/>
          <w:sz w:val="32"/>
          <w:szCs w:val="32"/>
        </w:rPr>
        <w:t xml:space="preserve"> </w:t>
      </w:r>
      <w:r>
        <w:rPr>
          <w:rFonts w:ascii="仿宋_GB2312" w:hAnsi="仿宋_GB2312" w:cs="仿宋_GB2312" w:hint="eastAsia"/>
          <w:sz w:val="32"/>
          <w:szCs w:val="32"/>
        </w:rPr>
        <w:t>国家机关、社会团体、企业事业单位以及其他社会组织应当积极开展文明祭祀宣传，营造文明祭祀的良好氛围。</w:t>
      </w:r>
    </w:p>
    <w:p>
      <w:pPr>
        <w:pStyle w:val="Normal"/>
        <w:rPr>
          <w:rFonts w:ascii="仿宋_GB2312" w:hAnsi="仿宋_GB2312" w:eastAsia="仿宋_GB2312" w:cs="Times New Roman"/>
          <w:sz w:val="32"/>
          <w:szCs w:val="32"/>
        </w:rPr>
      </w:pPr>
      <w:r>
        <w:rPr>
          <w:rFonts w:eastAsia="仿宋_GB2312" w:cs="仿宋_GB2312" w:ascii="仿宋_GB2312" w:hAnsi="仿宋_GB2312"/>
          <w:sz w:val="32"/>
          <w:szCs w:val="32"/>
        </w:rPr>
        <w:t xml:space="preserve">    </w:t>
      </w:r>
      <w:r>
        <w:rPr>
          <w:rFonts w:ascii="仿宋_GB2312" w:hAnsi="仿宋_GB2312" w:cs="仿宋_GB2312" w:hint="eastAsia"/>
          <w:sz w:val="32"/>
          <w:szCs w:val="32"/>
        </w:rPr>
        <w:t>新闻媒体、网络平台应当开展文明祭祀宣传和舆论监督。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Times New Roman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 xml:space="preserve">第七条 </w:t>
      </w:r>
      <w:r>
        <w:rPr>
          <w:rFonts w:ascii="仿宋_GB2312" w:hAnsi="仿宋_GB2312" w:cs="仿宋_GB2312"/>
          <w:sz w:val="32"/>
          <w:szCs w:val="32"/>
        </w:rPr>
        <w:t xml:space="preserve"> </w:t>
      </w:r>
      <w:r>
        <w:rPr>
          <w:rFonts w:ascii="仿宋_GB2312" w:hAnsi="仿宋_GB2312" w:cs="仿宋_GB2312" w:hint="eastAsia"/>
          <w:sz w:val="32"/>
          <w:szCs w:val="32"/>
        </w:rPr>
        <w:t>国家公职人员应当发挥表率作用，带动家庭、亲属和周边群众开展文明祭祀。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 xml:space="preserve">第八条 </w:t>
      </w:r>
      <w:r>
        <w:rPr>
          <w:rFonts w:ascii="仿宋_GB2312" w:hAnsi="仿宋_GB2312" w:cs="仿宋_GB2312"/>
          <w:sz w:val="32"/>
          <w:szCs w:val="32"/>
        </w:rPr>
        <w:t xml:space="preserve"> </w:t>
      </w:r>
      <w:r>
        <w:rPr>
          <w:rFonts w:ascii="仿宋_GB2312" w:hAnsi="仿宋_GB2312" w:cs="仿宋_GB2312" w:hint="eastAsia"/>
          <w:sz w:val="32"/>
          <w:szCs w:val="32"/>
        </w:rPr>
        <w:t>禁止制造、销售、焚烧、抛撒下列封建迷信祭祀用品：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（一）各类烧纸、冥钞、纸钱；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（二）用于祭祀焚烧的纸人纸马、摇钱树、金山银山、锡箔元宝、宅院等纸扎实物；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（三）其他封建迷信祭祀用品。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第九条</w:t>
      </w:r>
      <w:r>
        <w:rPr>
          <w:rFonts w:ascii="仿宋_GB2312" w:hAnsi="仿宋_GB2312" w:cs="仿宋_GB2312"/>
          <w:sz w:val="32"/>
          <w:szCs w:val="32"/>
        </w:rPr>
        <w:t xml:space="preserve"> </w:t>
      </w:r>
      <w:r>
        <w:rPr>
          <w:rFonts w:ascii="仿宋_GB2312" w:hAnsi="仿宋_GB2312" w:cs="仿宋_GB2312" w:hint="eastAsia"/>
          <w:sz w:val="32"/>
          <w:szCs w:val="32"/>
        </w:rPr>
        <w:t xml:space="preserve"> 违反本条例第八条规定，制造、销售封建迷信祭祀用品的，由民政部门会同市场监督管理部门予以没收，可以并处制造、销售金额一倍以上三倍以下罚款。焚烧、抛撒封建迷信祭祀用品的，由城市管理行政执法部门责令改正；拒不改正的，处以一百元以上五百元以下罚款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森林防火期内，在森林防火区焚烧祭祀用品的，由林业主管部门依法查处</w:t>
      </w:r>
      <w:bookmarkStart w:id="0" w:name="_Hlk37340502"/>
      <w:r>
        <w:rPr>
          <w:rFonts w:ascii="仿宋_GB2312" w:hAnsi="仿宋_GB2312" w:cs="仿宋_GB2312" w:hint="eastAsia"/>
          <w:sz w:val="32"/>
          <w:szCs w:val="32"/>
        </w:rPr>
        <w:t>。</w:t>
      </w:r>
      <w:bookmarkEnd w:id="0"/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第十条</w:t>
      </w:r>
      <w:r>
        <w:rPr>
          <w:rFonts w:ascii="仿宋_GB2312" w:hAnsi="仿宋_GB2312" w:cs="仿宋_GB2312"/>
          <w:sz w:val="32"/>
          <w:szCs w:val="32"/>
        </w:rPr>
        <w:t xml:space="preserve"> </w:t>
      </w:r>
      <w:r>
        <w:rPr>
          <w:rFonts w:ascii="仿宋_GB2312" w:hAnsi="仿宋_GB2312" w:cs="仿宋_GB2312" w:hint="eastAsia"/>
          <w:sz w:val="32"/>
          <w:szCs w:val="32"/>
        </w:rPr>
        <w:t xml:space="preserve"> 违反本条例规定的其他行为，法律法规已有规定的，从其规定。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第十一条</w:t>
      </w:r>
      <w:r>
        <w:rPr>
          <w:rFonts w:ascii="仿宋_GB2312" w:hAnsi="仿宋_GB2312" w:cs="仿宋_GB2312"/>
          <w:sz w:val="32"/>
          <w:szCs w:val="32"/>
        </w:rPr>
        <w:t xml:space="preserve"> </w:t>
      </w:r>
      <w:r>
        <w:rPr>
          <w:rFonts w:ascii="仿宋_GB2312" w:hAnsi="仿宋_GB2312" w:cs="仿宋_GB2312" w:hint="eastAsia"/>
          <w:sz w:val="32"/>
          <w:szCs w:val="32"/>
        </w:rPr>
        <w:t xml:space="preserve"> 国家机关及其工作人员在文明祭祀管理工作中玩忽职守、滥用职权、徇私舞弊的，由有权机关依法给予处分；构成犯罪的，依法追究刑事责任。</w:t>
      </w:r>
    </w:p>
    <w:p>
      <w:pPr>
        <w:pStyle w:val="Normal"/>
        <w:ind w:firstLine="648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第十二条</w:t>
      </w:r>
      <w:r>
        <w:rPr>
          <w:rFonts w:ascii="仿宋_GB2312" w:hAnsi="仿宋_GB2312" w:cs="仿宋_GB2312"/>
          <w:sz w:val="32"/>
          <w:szCs w:val="32"/>
        </w:rPr>
        <w:t xml:space="preserve"> </w:t>
      </w:r>
      <w:r>
        <w:rPr>
          <w:rFonts w:ascii="仿宋_GB2312" w:hAnsi="仿宋_GB2312" w:cs="仿宋_GB2312" w:hint="eastAsia"/>
          <w:sz w:val="32"/>
          <w:szCs w:val="32"/>
        </w:rPr>
        <w:t xml:space="preserve"> 本条例自</w:t>
      </w:r>
      <w:r>
        <w:rPr>
          <w:rFonts w:cs="仿宋_GB2312" w:hint="eastAsia" w:ascii="仿宋_GB2312" w:hAnsi="仿宋_GB2312"/>
          <w:sz w:val="32"/>
          <w:szCs w:val="32"/>
        </w:rPr>
        <w:t>2021</w:t>
      </w:r>
      <w:r>
        <w:rPr>
          <w:rFonts w:ascii="仿宋_GB2312" w:hAnsi="仿宋_GB2312" w:cs="仿宋_GB2312" w:hint="eastAsia"/>
          <w:sz w:val="32"/>
          <w:szCs w:val="32"/>
        </w:rPr>
        <w:t>年</w:t>
      </w:r>
      <w:r>
        <w:rPr>
          <w:rFonts w:cs="仿宋_GB2312" w:hint="eastAsia" w:ascii="仿宋_GB2312" w:hAnsi="仿宋_GB2312"/>
          <w:sz w:val="32"/>
          <w:szCs w:val="32"/>
        </w:rPr>
        <w:t>1</w:t>
      </w:r>
      <w:r>
        <w:rPr>
          <w:rFonts w:ascii="仿宋_GB2312" w:hAnsi="仿宋_GB2312" w:cs="仿宋_GB2312" w:hint="eastAsia"/>
          <w:sz w:val="32"/>
          <w:szCs w:val="32"/>
        </w:rPr>
        <w:t>月</w:t>
      </w:r>
      <w:r>
        <w:rPr>
          <w:rFonts w:cs="仿宋_GB2312" w:hint="eastAsia" w:ascii="仿宋_GB2312" w:hAnsi="仿宋_GB2312"/>
          <w:sz w:val="32"/>
          <w:szCs w:val="32"/>
        </w:rPr>
        <w:t>1</w:t>
      </w:r>
      <w:r>
        <w:rPr>
          <w:rFonts w:ascii="仿宋_GB2312" w:hAnsi="仿宋_GB2312" w:cs="仿宋_GB2312" w:hint="eastAsia"/>
          <w:sz w:val="32"/>
          <w:szCs w:val="32"/>
        </w:rPr>
        <w:t>日起施行。</w:t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4884" w:leader="none"/>
        </w:tabs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宋体" w:hAnsi="宋体" w:eastAsia="宋体" w:cs="宋体" w:hint="eastAsia"/>
          <w:b/>
          <w:bCs/>
          <w:color w:val="000000"/>
          <w:sz w:val="32"/>
          <w:szCs w:val="32"/>
        </w:rPr>
      </w:pPr>
      <w:r>
        <w:rPr>
          <w:rFonts w:eastAsia="宋体" w:cs="宋体" w:hint="eastAsia" w:ascii="宋体" w:hAnsi="宋体"/>
          <w:b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4884" w:leader="none"/>
        </w:tabs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宋体" w:hAnsi="宋体" w:eastAsia="宋体" w:cs="宋体" w:hint="eastAsia"/>
          <w:b/>
          <w:bCs/>
          <w:color w:val="000000"/>
          <w:sz w:val="32"/>
          <w:szCs w:val="32"/>
        </w:rPr>
      </w:pPr>
      <w:r>
        <w:rPr>
          <w:rFonts w:eastAsia="宋体" w:cs="宋体" w:hint="eastAsia" w:ascii="宋体" w:hAnsi="宋体"/>
          <w:b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4884" w:leader="none"/>
        </w:tabs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宋体" w:hAnsi="宋体" w:eastAsia="宋体" w:cs="宋体" w:hint="eastAsia"/>
          <w:b/>
          <w:bCs/>
          <w:color w:val="000000"/>
          <w:sz w:val="32"/>
          <w:szCs w:val="32"/>
        </w:rPr>
      </w:pPr>
      <w:r>
        <w:rPr>
          <w:rFonts w:eastAsia="宋体" w:cs="宋体" w:hint="eastAsia" w:ascii="宋体" w:hAnsi="宋体"/>
          <w:b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4884" w:leader="none"/>
        </w:tabs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宋体" w:hAnsi="宋体" w:eastAsia="宋体" w:cs="宋体" w:hint="eastAsia"/>
          <w:b/>
          <w:bCs/>
          <w:color w:val="000000"/>
          <w:sz w:val="32"/>
          <w:szCs w:val="32"/>
        </w:rPr>
      </w:pPr>
      <w:r>
        <w:rPr>
          <w:rFonts w:eastAsia="宋体" w:cs="宋体" w:hint="eastAsia" w:ascii="宋体" w:hAnsi="宋体"/>
          <w:b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4884" w:leader="none"/>
        </w:tabs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宋体" w:hAnsi="宋体" w:eastAsia="宋体" w:cs="宋体" w:hint="eastAsia"/>
          <w:b/>
          <w:bCs/>
          <w:color w:val="000000"/>
          <w:sz w:val="32"/>
          <w:szCs w:val="32"/>
        </w:rPr>
      </w:pPr>
      <w:r>
        <w:rPr>
          <w:rFonts w:eastAsia="宋体" w:cs="宋体" w:hint="eastAsia" w:ascii="宋体" w:hAnsi="宋体"/>
          <w:b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4884" w:leader="none"/>
        </w:tabs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宋体" w:hAnsi="宋体" w:eastAsia="宋体" w:cs="宋体" w:hint="eastAsia"/>
          <w:b/>
          <w:bCs/>
          <w:color w:val="000000"/>
          <w:sz w:val="32"/>
          <w:szCs w:val="32"/>
        </w:rPr>
      </w:pPr>
      <w:r>
        <w:rPr>
          <w:rFonts w:eastAsia="宋体" w:cs="宋体" w:hint="eastAsia" w:ascii="宋体" w:hAnsi="宋体"/>
          <w:b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4884" w:leader="none"/>
        </w:tabs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宋体" w:hAnsi="宋体" w:eastAsia="宋体" w:cs="宋体" w:hint="eastAsia"/>
          <w:b/>
          <w:bCs/>
          <w:color w:val="000000"/>
          <w:sz w:val="32"/>
          <w:szCs w:val="32"/>
        </w:rPr>
      </w:pPr>
      <w:r>
        <w:rPr>
          <w:rFonts w:eastAsia="宋体" w:cs="宋体" w:hint="eastAsia" w:ascii="宋体" w:hAnsi="宋体"/>
          <w:b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4884" w:leader="none"/>
        </w:tabs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宋体" w:hAnsi="宋体" w:eastAsia="宋体" w:cs="宋体" w:hint="eastAsia"/>
          <w:b/>
          <w:bCs/>
          <w:color w:val="000000"/>
          <w:sz w:val="32"/>
          <w:szCs w:val="32"/>
        </w:rPr>
      </w:pPr>
      <w:r>
        <w:rPr>
          <w:rFonts w:eastAsia="宋体" w:cs="宋体" w:hint="eastAsia" w:ascii="宋体" w:hAnsi="宋体"/>
          <w:b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4884" w:leader="none"/>
        </w:tabs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宋体" w:hAnsi="宋体" w:eastAsia="宋体" w:cs="宋体" w:hint="eastAsia"/>
          <w:b/>
          <w:bCs/>
          <w:color w:val="000000"/>
          <w:sz w:val="32"/>
          <w:szCs w:val="32"/>
        </w:rPr>
      </w:pPr>
      <w:r>
        <w:rPr>
          <w:rFonts w:eastAsia="宋体" w:cs="宋体" w:hint="eastAsia" w:ascii="宋体" w:hAnsi="宋体"/>
          <w:b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4884" w:leader="none"/>
        </w:tabs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宋体" w:hAnsi="宋体" w:eastAsia="宋体" w:cs="宋体" w:hint="eastAsia"/>
          <w:b/>
          <w:bCs/>
          <w:color w:val="000000"/>
          <w:sz w:val="32"/>
          <w:szCs w:val="32"/>
        </w:rPr>
      </w:pPr>
      <w:r>
        <w:rPr>
          <w:rFonts w:eastAsia="宋体" w:cs="宋体" w:hint="eastAsia" w:ascii="宋体" w:hAnsi="宋体"/>
          <w:b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4884" w:leader="none"/>
        </w:tabs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宋体" w:hAnsi="宋体" w:eastAsia="宋体" w:cs="宋体" w:hint="eastAsia"/>
          <w:b/>
          <w:bCs/>
          <w:color w:val="000000"/>
          <w:sz w:val="32"/>
          <w:szCs w:val="32"/>
        </w:rPr>
      </w:pPr>
      <w:r>
        <w:rPr>
          <w:rFonts w:eastAsia="宋体" w:cs="宋体" w:hint="eastAsia" w:ascii="宋体" w:hAnsi="宋体"/>
          <w:b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4884" w:leader="none"/>
        </w:tabs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宋体" w:hAnsi="宋体" w:eastAsia="宋体" w:cs="宋体" w:hint="eastAsia"/>
          <w:b/>
          <w:bCs/>
          <w:color w:val="000000"/>
          <w:sz w:val="32"/>
          <w:szCs w:val="32"/>
        </w:rPr>
      </w:pPr>
      <w:r>
        <w:rPr>
          <w:rFonts w:eastAsia="宋体" w:cs="宋体" w:hint="eastAsia" w:ascii="宋体" w:hAnsi="宋体"/>
          <w:b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4884" w:leader="none"/>
        </w:tabs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宋体" w:hAnsi="宋体" w:eastAsia="宋体" w:cs="宋体" w:hint="eastAsia"/>
          <w:b/>
          <w:bCs/>
          <w:color w:val="000000"/>
          <w:sz w:val="32"/>
          <w:szCs w:val="32"/>
        </w:rPr>
      </w:pPr>
      <w:r>
        <w:rPr>
          <w:rFonts w:eastAsia="宋体" w:cs="宋体" w:hint="eastAsia" w:ascii="宋体" w:hAnsi="宋体"/>
          <w:b/>
          <w:bCs/>
          <w:color w:val="000000"/>
          <w:sz w:val="32"/>
          <w:szCs w:val="32"/>
        </w:rPr>
      </w:r>
    </w:p>
    <w:sectPr>
      <w:headerReference w:type="default" r:id="rId2"/>
      <w:footerReference w:type="default" r:id="rId3"/>
      <w:type w:val="nextPage"/>
      <w:pgSz w:w="11906" w:h="16838"/>
      <w:pgMar w:left="1587" w:right="1474" w:gutter="0" w:header="851" w:top="2098" w:footer="1020" w:bottom="1984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default"/>
  </w:font>
  <w:font w:name="Arial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auto"/>
    <w:pitch w:val="default"/>
  </w:font>
  <w:font w:name="宋体">
    <w:charset w:val="86"/>
    <w:family w:val="auto"/>
    <w:pitch w:val="default"/>
  </w:font>
  <w:font w:name="Arial">
    <w:charset w:val="01"/>
    <w:family w:val="swiss"/>
    <w:pitch w:val="default"/>
  </w:font>
  <w:font w:name="Tahoma">
    <w:charset w:val="00" w:characterSet="windows-1252"/>
    <w:family w:val="swiss"/>
    <w:pitch w:val="default"/>
  </w:font>
  <w:font w:name="楷体_GB2312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  <w:sz w:val="18"/>
      </w:rPr>
    </w:pPr>
    <w:r>
      <w:rPr>
        <w:rFonts w:hint="eastAsia"/>
        <w:sz w:val="18"/>
      </w:rPr>
      <w:t xml:space="preserve"> </w:t>
    </w:r>
    <w:r>
      <mc:AlternateContent>
        <mc:Choice Requires="wps">
          <w:drawing>
            <wp:anchor distT="0" distB="0" distL="114935" distR="114935" simplePos="0" relativeHeight="5" behindDoc="1" locked="0" layoutInCell="0" allowOverlap="1">
              <wp:simplePos x="0" y="0"/>
              <wp:positionH relativeFrom="margin">
                <wp:posOffset>4985385</wp:posOffset>
              </wp:positionH>
              <wp:positionV relativeFrom="paragraph">
                <wp:posOffset>-192405</wp:posOffset>
              </wp:positionV>
              <wp:extent cx="673735" cy="304800"/>
              <wp:effectExtent l="0" t="0" r="0" b="0"/>
              <wp:wrapNone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3735" cy="3048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Fonts w:ascii="宋体" w:hAnsi="宋体" w:eastAsia="宋体" w:cs="宋体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 xml:space="preserve">  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3.05pt;height:24pt;mso-wrap-distance-left:9.05pt;mso-wrap-distance-right:9.05pt;mso-wrap-distance-top:0pt;mso-wrap-distance-bottom:0pt;margin-top:-15.15pt;mso-position-vertical-relative:text;margin-left:392.55pt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Fonts w:ascii="宋体" w:hAnsi="宋体" w:eastAsia="宋体" w:cs="宋体" w:hint="eastAsia"/>
                        <w:sz w:val="28"/>
                        <w:szCs w:val="28"/>
                      </w:rPr>
                    </w:pP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 xml:space="preserve">  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distT="0" distB="0" distL="114935" distR="0" simplePos="0" relativeHeight="9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-139065</wp:posOffset>
              </wp:positionV>
              <wp:extent cx="100330" cy="36957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" cy="3695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Fonts w:ascii="宋体" w:hAnsi="宋体" w:eastAsia="宋体" w:cs="宋体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9pt;height:29.1pt;mso-wrap-distance-left:9.05pt;mso-wrap-distance-right:0pt;mso-wrap-distance-top:0pt;mso-wrap-distance-bottom:0pt;margin-top:-10.95pt;mso-position-vertical-relative:text;margin-left:9.0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Fonts w:ascii="宋体" w:hAnsi="宋体" w:eastAsia="宋体" w:cs="宋体" w:hint="eastAsia"/>
                        <w:sz w:val="28"/>
                        <w:szCs w:val="28"/>
                      </w:rPr>
                    </w:pP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>4</w: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Strong">
    <w:name w:val="Strong"/>
    <w:basedOn w:val="Style13"/>
    <w:qFormat/>
    <w:rPr>
      <w:b/>
      <w:bCs/>
    </w:rPr>
  </w:style>
  <w:style w:type="character" w:styleId="Char">
    <w:name w:val="批注文字 Char"/>
    <w:basedOn w:val="Style13"/>
    <w:qFormat/>
    <w:rPr>
      <w:kern w:val="2"/>
      <w:sz w:val="32"/>
      <w:szCs w:val="32"/>
    </w:rPr>
  </w:style>
  <w:style w:type="character" w:styleId="FontStyle11">
    <w:name w:val="Font Style11"/>
    <w:basedOn w:val="Style13"/>
    <w:qFormat/>
    <w:rPr>
      <w:rFonts w:ascii="Arial" w:hAnsi="Arial" w:cs="Arial"/>
      <w:color w:val="000000"/>
      <w:sz w:val="36"/>
      <w:szCs w:val="36"/>
    </w:rPr>
  </w:style>
  <w:style w:type="character" w:styleId="FontStyle13">
    <w:name w:val="Font Style13"/>
    <w:basedOn w:val="Style13"/>
    <w:qFormat/>
    <w:rPr>
      <w:rFonts w:ascii="Arial" w:hAnsi="Arial" w:cs="Arial"/>
      <w:color w:val="000000"/>
      <w:sz w:val="26"/>
      <w:szCs w:val="26"/>
    </w:rPr>
  </w:style>
  <w:style w:type="character" w:styleId="Char1">
    <w:name w:val="日期 Char"/>
    <w:basedOn w:val="Style13"/>
    <w:qFormat/>
    <w:rPr>
      <w:kern w:val="2"/>
      <w:sz w:val="34"/>
      <w:szCs w:val="24"/>
    </w:rPr>
  </w:style>
  <w:style w:type="character" w:styleId="1Char">
    <w:name w:val="标题 1 Char"/>
    <w:basedOn w:val="Style13"/>
    <w:qFormat/>
    <w:rPr>
      <w:b/>
      <w:bCs/>
      <w:kern w:val="2"/>
      <w:sz w:val="44"/>
      <w:szCs w:val="44"/>
    </w:rPr>
  </w:style>
  <w:style w:type="character" w:styleId="FontStyle12">
    <w:name w:val="Font Style12"/>
    <w:basedOn w:val="Style13"/>
    <w:qFormat/>
    <w:rPr>
      <w:rFonts w:ascii="Arial" w:hAnsi="Arial" w:cs="Arial"/>
      <w:color w:val="000000"/>
      <w:sz w:val="20"/>
      <w:szCs w:val="20"/>
    </w:rPr>
  </w:style>
  <w:style w:type="character" w:styleId="FontStyle15">
    <w:name w:val="Font Style15"/>
    <w:basedOn w:val="Style13"/>
    <w:qFormat/>
    <w:rPr>
      <w:rFonts w:ascii="Arial" w:hAnsi="Arial" w:cs="Arial"/>
      <w:color w:val="000000"/>
      <w:sz w:val="20"/>
      <w:szCs w:val="20"/>
    </w:rPr>
  </w:style>
  <w:style w:type="character" w:styleId="Char2">
    <w:name w:val="页眉 Char"/>
    <w:basedOn w:val="Style13"/>
    <w:qFormat/>
    <w:rPr>
      <w:kern w:val="2"/>
      <w:sz w:val="18"/>
      <w:szCs w:val="18"/>
    </w:rPr>
  </w:style>
  <w:style w:type="character" w:styleId="FontStyle16">
    <w:name w:val="Font Style16"/>
    <w:basedOn w:val="Style13"/>
    <w:qFormat/>
    <w:rPr>
      <w:rFonts w:ascii="Arial" w:hAnsi="Arial" w:cs="Arial"/>
      <w:color w:val="000000"/>
      <w:sz w:val="20"/>
      <w:szCs w:val="20"/>
    </w:rPr>
  </w:style>
  <w:style w:type="character" w:styleId="FontStyle14">
    <w:name w:val="Font Style14"/>
    <w:basedOn w:val="Style13"/>
    <w:qFormat/>
    <w:rPr>
      <w:rFonts w:ascii="Arial" w:hAnsi="Arial" w:cs="Arial"/>
      <w:color w:val="000000"/>
      <w:spacing w:val="-10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仿宋_GB2312" w:hAnsi="仿宋_GB2312" w:eastAsia="仿宋_GB2312"/>
      <w:b/>
      <w:bCs/>
      <w:sz w:val="4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普通(网站)"/>
    <w:basedOn w:val="Normal"/>
    <w:qFormat/>
    <w:pPr>
      <w:widowControl/>
      <w:spacing w:before="280" w:after="280"/>
      <w:jc w:val="start"/>
    </w:pPr>
    <w:rPr>
      <w:rFonts w:ascii="宋体" w:hAnsi="宋体" w:eastAsia="仿宋" w:cs="宋体"/>
      <w:kern w:val="0"/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Style16">
    <w:name w:val="批注文字"/>
    <w:basedOn w:val="Normal"/>
    <w:qFormat/>
    <w:pPr>
      <w:jc w:val="start"/>
    </w:pPr>
    <w:rPr>
      <w:kern w:val="2"/>
      <w:sz w:val="32"/>
      <w:szCs w:val="32"/>
    </w:rPr>
  </w:style>
  <w:style w:type="paragraph" w:styleId="Style17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BodyTextIndent">
    <w:name w:val="Body Text Indent"/>
    <w:basedOn w:val="Normal"/>
    <w:pPr>
      <w:ind w:firstLine="600" w:start="0" w:end="0"/>
    </w:pPr>
    <w:rPr>
      <w:rFonts w:eastAsia="仿宋_GB2312"/>
      <w:sz w:val="32"/>
      <w:szCs w:val="20"/>
    </w:rPr>
  </w:style>
  <w:style w:type="paragraph" w:styleId="NewNewNewNewNewNewNewNewNewNew">
    <w:name w:val="正文 New New New New New New New New New New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sz w:val="21"/>
      <w:szCs w:val="20"/>
      <w:lang w:bidi="ar-SA" w:val="en-US" w:eastAsia="zh-CN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New">
    <w:name w:val="正文 New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paragraph" w:styleId="Style21">
    <w:name w:val="Style2"/>
    <w:basedOn w:val="Normal"/>
    <w:qFormat/>
    <w:pPr>
      <w:jc w:val="start"/>
    </w:pPr>
    <w:rPr>
      <w:rFonts w:ascii="Arial" w:hAnsi="Arial" w:cs="Arial"/>
      <w:kern w:val="0"/>
      <w:sz w:val="24"/>
    </w:rPr>
  </w:style>
  <w:style w:type="paragraph" w:styleId="Style81">
    <w:name w:val="Style8"/>
    <w:basedOn w:val="Normal"/>
    <w:qFormat/>
    <w:pPr>
      <w:jc w:val="start"/>
    </w:pPr>
    <w:rPr>
      <w:rFonts w:ascii="Arial" w:hAnsi="Arial" w:cs="Arial"/>
      <w:kern w:val="0"/>
      <w:sz w:val="24"/>
    </w:rPr>
  </w:style>
  <w:style w:type="paragraph" w:styleId="Style31">
    <w:name w:val="Style3"/>
    <w:basedOn w:val="Normal"/>
    <w:qFormat/>
    <w:pPr>
      <w:jc w:val="start"/>
    </w:pPr>
    <w:rPr>
      <w:rFonts w:ascii="Arial" w:hAnsi="Arial" w:cs="Arial"/>
      <w:kern w:val="0"/>
      <w:sz w:val="24"/>
    </w:rPr>
  </w:style>
  <w:style w:type="paragraph" w:styleId="Style41">
    <w:name w:val="Style4"/>
    <w:basedOn w:val="Normal"/>
    <w:qFormat/>
    <w:pPr>
      <w:jc w:val="start"/>
    </w:pPr>
    <w:rPr>
      <w:rFonts w:ascii="Arial" w:hAnsi="Arial" w:cs="Arial"/>
      <w:kern w:val="0"/>
      <w:sz w:val="24"/>
    </w:rPr>
  </w:style>
  <w:style w:type="paragraph" w:styleId="Style51">
    <w:name w:val="Style5"/>
    <w:basedOn w:val="Normal"/>
    <w:qFormat/>
    <w:pPr>
      <w:jc w:val="start"/>
    </w:pPr>
    <w:rPr>
      <w:rFonts w:ascii="Arial" w:hAnsi="Arial" w:cs="Arial"/>
      <w:kern w:val="0"/>
      <w:sz w:val="24"/>
    </w:rPr>
  </w:style>
  <w:style w:type="paragraph" w:styleId="NewNewNewNewNewNewNewNewNewNewNewNew">
    <w:name w:val="正文 New New New New New New New New New New New New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sz w:val="21"/>
      <w:szCs w:val="20"/>
      <w:lang w:bidi="ar-SA" w:val="en-US" w:eastAsia="zh-CN"/>
    </w:rPr>
  </w:style>
  <w:style w:type="paragraph" w:styleId="Char3">
    <w:name w:val="Char"/>
    <w:basedOn w:val="Normal"/>
    <w:qFormat/>
    <w:pPr/>
    <w:rPr>
      <w:rFonts w:ascii="Tahoma" w:hAnsi="Tahoma" w:eastAsia="仿宋" w:cs="Tahoma"/>
      <w:sz w:val="24"/>
    </w:rPr>
  </w:style>
  <w:style w:type="paragraph" w:styleId="Style91">
    <w:name w:val="Style9"/>
    <w:basedOn w:val="Normal"/>
    <w:qFormat/>
    <w:pPr>
      <w:spacing w:lineRule="exact" w:line="624"/>
      <w:jc w:val="start"/>
    </w:pPr>
    <w:rPr>
      <w:rFonts w:ascii="Arial" w:hAnsi="Arial" w:cs="Arial"/>
      <w:kern w:val="0"/>
      <w:sz w:val="24"/>
    </w:rPr>
  </w:style>
  <w:style w:type="paragraph" w:styleId="Style18">
    <w:name w:val="Style1"/>
    <w:basedOn w:val="Normal"/>
    <w:qFormat/>
    <w:pPr>
      <w:spacing w:lineRule="exact" w:line="648"/>
      <w:ind w:firstLine="1450" w:start="0" w:end="0"/>
      <w:jc w:val="start"/>
    </w:pPr>
    <w:rPr>
      <w:rFonts w:ascii="Arial" w:hAnsi="Arial" w:cs="Arial"/>
      <w:kern w:val="0"/>
      <w:sz w:val="24"/>
    </w:rPr>
  </w:style>
  <w:style w:type="paragraph" w:styleId="NewNewNewNewNewNewNewNew">
    <w:name w:val="正文 New New New New New New New New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sz w:val="21"/>
      <w:szCs w:val="20"/>
      <w:lang w:bidi="ar-SA" w:val="en-US" w:eastAsia="zh-CN"/>
    </w:rPr>
  </w:style>
  <w:style w:type="paragraph" w:styleId="NewNewNewNewNewNewNew">
    <w:name w:val="正文 New New New New New New New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sz w:val="21"/>
      <w:szCs w:val="20"/>
      <w:lang w:bidi="ar-SA" w:val="en-US" w:eastAsia="zh-CN"/>
    </w:rPr>
  </w:style>
  <w:style w:type="paragraph" w:styleId="Char4">
    <w:name w:val=" Char"/>
    <w:basedOn w:val="Normal"/>
    <w:qFormat/>
    <w:pPr/>
    <w:rPr>
      <w:rFonts w:ascii="Tahoma" w:hAnsi="Tahoma" w:eastAsia="仿宋" w:cs="Tahoma"/>
      <w:sz w:val="24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12960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2017-12-18T09:13:00Z</dcterms:created>
  <dc:creator>Administrator</dc:creator>
  <dc:description/>
  <dc:language>en-US</dc:language>
  <cp:lastModifiedBy>英宝珠</cp:lastModifiedBy>
  <cp:lastPrinted>2020-12-04T15:01:00Z</cp:lastPrinted>
  <dcterms:modified xsi:type="dcterms:W3CDTF">2020-12-07T09:53:48Z</dcterms:modified>
  <cp:revision>25</cp:revision>
  <dc:subject/>
  <dc:title>通人常发[2016]31号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