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ageBreakBefore w:val="false"/>
        <w:widowControl/>
        <w:numPr>
          <w:ilvl w:val="0"/>
          <w:numId w:val="0"/>
        </w:numPr>
        <w:kinsoku w:val="true"/>
        <w:overflowPunct w:val="true"/>
        <w:autoSpaceDE w:val="true"/>
        <w:bidi w:val="0"/>
        <w:snapToGrid w:val="false"/>
        <w:spacing w:lineRule="exact" w:line="560"/>
        <w:jc w:val="both"/>
        <w:textAlignment w:val="auto"/>
        <w:outlineLvl w:val="0"/>
        <w:rPr>
          <w:rFonts w:ascii="宋体" w:hAnsi="宋体" w:eastAsia="宋体" w:cs="宋体" w:hint="eastAsia"/>
          <w:b w:val="false"/>
          <w:bCs w:val="false"/>
          <w:color w:val="000000"/>
          <w:kern w:val="2"/>
          <w:sz w:val="32"/>
          <w:szCs w:val="32"/>
        </w:rPr>
      </w:pPr>
      <w:r>
        <w:rPr>
          <w:rFonts w:eastAsia="宋体" w:cs="宋体" w:hint="eastAsia" w:ascii="宋体" w:hAnsi="宋体"/>
          <w:b w:val="false"/>
          <w:bCs w:val="false"/>
          <w:color w:val="000000"/>
          <w:kern w:val="2"/>
          <w:sz w:val="32"/>
          <w:szCs w:val="32"/>
        </w:rPr>
      </w:r>
    </w:p>
    <w:p>
      <w:pPr>
        <w:pStyle w:val="2"/>
        <w:rPr>
          <w:rFonts w:ascii="宋体" w:hAnsi="宋体" w:eastAsia="宋体" w:cs="宋体" w:hint="eastAsia"/>
          <w:b w:val="false"/>
          <w:bCs w:val="false"/>
          <w:color w:val="000000"/>
          <w:kern w:val="2"/>
          <w:sz w:val="32"/>
          <w:szCs w:val="32"/>
        </w:rPr>
      </w:pPr>
      <w:r>
        <w:rPr>
          <w:rFonts w:eastAsia="宋体" w:cs="宋体" w:hint="eastAsia" w:ascii="宋体" w:hAnsi="宋体"/>
          <w:b w:val="false"/>
          <w:bCs w:val="false"/>
          <w:color w:val="000000"/>
          <w:kern w:val="2"/>
          <w:sz w:val="32"/>
          <w:szCs w:val="32"/>
        </w:rPr>
      </w:r>
    </w:p>
    <w:p>
      <w:pPr>
        <w:pStyle w:val="Heading1"/>
        <w:pageBreakBefore w:val="false"/>
        <w:numPr>
          <w:ilvl w:val="0"/>
          <w:numId w:val="0"/>
        </w:numPr>
        <w:kinsoku w:val="true"/>
        <w:overflowPunct w:val="true"/>
        <w:autoSpaceDE w:val="true"/>
        <w:bidi w:val="0"/>
        <w:spacing w:lineRule="exact" w:line="560" w:before="0" w:after="0"/>
        <w:ind w:hanging="0" w:start="0"/>
        <w:jc w:val="center"/>
        <w:textAlignment w:val="auto"/>
        <w:rPr>
          <w:rFonts w:ascii="宋体" w:hAnsi="宋体" w:eastAsia="宋体" w:cs="Arial" w:hint="eastAsia"/>
          <w:b w:val="false"/>
          <w:bCs/>
          <w:kern w:val="2"/>
          <w:sz w:val="44"/>
          <w:szCs w:val="44"/>
        </w:rPr>
      </w:pPr>
      <w:r>
        <w:rPr>
          <w:rFonts w:ascii="宋体" w:hAnsi="宋体" w:cs="Arial" w:hint="eastAsia"/>
          <w:b w:val="false"/>
          <w:bCs/>
          <w:kern w:val="2"/>
          <w:sz w:val="44"/>
          <w:szCs w:val="44"/>
        </w:rPr>
        <w:t>吉林省土地管理条例</w:t>
      </w:r>
    </w:p>
    <w:p>
      <w:pPr>
        <w:pStyle w:val="Heading1"/>
        <w:pageBreakBefore w:val="false"/>
        <w:numPr>
          <w:ilvl w:val="0"/>
          <w:numId w:val="0"/>
        </w:numPr>
        <w:kinsoku w:val="true"/>
        <w:overflowPunct w:val="true"/>
        <w:autoSpaceDE w:val="true"/>
        <w:bidi w:val="0"/>
        <w:spacing w:lineRule="exact" w:line="560" w:before="0" w:after="0"/>
        <w:ind w:hanging="0" w:start="0"/>
        <w:jc w:val="center"/>
        <w:textAlignment w:val="auto"/>
        <w:rPr>
          <w:rFonts w:ascii="宋体" w:hAnsi="宋体" w:eastAsia="宋体" w:cs="宋体" w:hint="eastAsia"/>
          <w:b w:val="false"/>
          <w:bCs w:val="false"/>
          <w:color w:val="000000"/>
          <w:kern w:val="2"/>
          <w:sz w:val="32"/>
          <w:szCs w:val="32"/>
          <w:shd w:fill="FFFFFF" w:val="clear"/>
        </w:rPr>
      </w:pPr>
      <w:r>
        <w:rPr>
          <w:rFonts w:eastAsia="宋体" w:cs="宋体" w:hint="eastAsia" w:ascii="宋体" w:hAnsi="宋体"/>
          <w:b w:val="false"/>
          <w:bCs w:val="false"/>
          <w:color w:val="000000"/>
          <w:kern w:val="2"/>
          <w:sz w:val="32"/>
          <w:szCs w:val="32"/>
          <w:shd w:fill="FFFFFF" w:val="clear"/>
        </w:rPr>
      </w:r>
    </w:p>
    <w:p>
      <w:pPr>
        <w:pStyle w:val="Normal"/>
        <w:ind w:hangingChars="50" w:startChars="200" w:endChars="168"/>
        <w:rPr>
          <w:rFonts w:ascii="楷体_GB2312;楷体" w:hAnsi="楷体_GB2312;楷体" w:eastAsia="楷体_GB2312;楷体" w:cs="Arial" w:hint="eastAsia"/>
          <w:sz w:val="32"/>
          <w:szCs w:val="32"/>
        </w:rPr>
      </w:pPr>
      <w:r>
        <w:rPr>
          <w:rFonts w:ascii="楷体_GB2312;楷体" w:hAnsi="楷体_GB2312;楷体" w:cs="Arial" w:hint="eastAsia" w:eastAsia="楷体_GB2312;楷体"/>
          <w:sz w:val="32"/>
          <w:szCs w:val="32"/>
        </w:rPr>
        <w:t>（</w:t>
      </w:r>
      <w:r>
        <w:rPr>
          <w:rFonts w:eastAsia="楷体_GB2312;楷体" w:cs="Arial" w:hint="eastAsia" w:ascii="楷体_GB2312;楷体" w:hAnsi="楷体_GB2312;楷体"/>
          <w:sz w:val="32"/>
          <w:szCs w:val="32"/>
        </w:rPr>
        <w:t>1994</w:t>
      </w:r>
      <w:r>
        <w:rPr>
          <w:rFonts w:ascii="楷体_GB2312;楷体" w:hAnsi="楷体_GB2312;楷体" w:cs="Arial" w:hint="eastAsia" w:eastAsia="楷体_GB2312;楷体"/>
          <w:sz w:val="32"/>
          <w:szCs w:val="32"/>
        </w:rPr>
        <w:t>年</w:t>
      </w:r>
      <w:r>
        <w:rPr>
          <w:rFonts w:eastAsia="楷体_GB2312;楷体" w:cs="Arial" w:hint="eastAsia" w:ascii="楷体_GB2312;楷体" w:hAnsi="楷体_GB2312;楷体"/>
          <w:sz w:val="32"/>
          <w:szCs w:val="32"/>
        </w:rPr>
        <w:t>1</w:t>
      </w:r>
      <w:r>
        <w:rPr>
          <w:rFonts w:ascii="楷体_GB2312;楷体" w:hAnsi="楷体_GB2312;楷体" w:cs="Arial" w:hint="eastAsia" w:eastAsia="楷体_GB2312;楷体"/>
          <w:sz w:val="32"/>
          <w:szCs w:val="32"/>
        </w:rPr>
        <w:t>月</w:t>
      </w:r>
      <w:r>
        <w:rPr>
          <w:rFonts w:eastAsia="楷体_GB2312;楷体" w:cs="Arial" w:hint="eastAsia" w:ascii="楷体_GB2312;楷体" w:hAnsi="楷体_GB2312;楷体"/>
          <w:sz w:val="32"/>
          <w:szCs w:val="32"/>
        </w:rPr>
        <w:t>15</w:t>
      </w:r>
      <w:r>
        <w:rPr>
          <w:rFonts w:ascii="楷体_GB2312;楷体" w:hAnsi="楷体_GB2312;楷体" w:cs="Arial" w:hint="eastAsia" w:eastAsia="楷体_GB2312;楷体"/>
          <w:sz w:val="32"/>
          <w:szCs w:val="32"/>
        </w:rPr>
        <w:t>日吉林省第八届人民代表大会常务委员会第七次会议通过  根据</w:t>
      </w:r>
      <w:r>
        <w:rPr>
          <w:rFonts w:eastAsia="楷体_GB2312;楷体" w:cs="Arial" w:hint="eastAsia" w:ascii="楷体_GB2312;楷体" w:hAnsi="楷体_GB2312;楷体"/>
          <w:sz w:val="32"/>
          <w:szCs w:val="32"/>
        </w:rPr>
        <w:t>1997</w:t>
      </w:r>
      <w:r>
        <w:rPr>
          <w:rFonts w:ascii="楷体_GB2312;楷体" w:hAnsi="楷体_GB2312;楷体" w:cs="Arial" w:hint="eastAsia" w:eastAsia="楷体_GB2312;楷体"/>
          <w:sz w:val="32"/>
          <w:szCs w:val="32"/>
        </w:rPr>
        <w:t>年</w:t>
      </w:r>
      <w:r>
        <w:rPr>
          <w:rFonts w:eastAsia="楷体_GB2312;楷体" w:cs="Arial" w:hint="eastAsia" w:ascii="楷体_GB2312;楷体" w:hAnsi="楷体_GB2312;楷体"/>
          <w:sz w:val="32"/>
          <w:szCs w:val="32"/>
        </w:rPr>
        <w:t>9</w:t>
      </w:r>
      <w:r>
        <w:rPr>
          <w:rFonts w:ascii="楷体_GB2312;楷体" w:hAnsi="楷体_GB2312;楷体" w:cs="Arial" w:hint="eastAsia" w:eastAsia="楷体_GB2312;楷体"/>
          <w:sz w:val="32"/>
          <w:szCs w:val="32"/>
        </w:rPr>
        <w:t>月</w:t>
      </w:r>
      <w:r>
        <w:rPr>
          <w:rFonts w:eastAsia="楷体_GB2312;楷体" w:cs="Arial" w:hint="eastAsia" w:ascii="楷体_GB2312;楷体" w:hAnsi="楷体_GB2312;楷体"/>
          <w:sz w:val="32"/>
          <w:szCs w:val="32"/>
        </w:rPr>
        <w:t>26</w:t>
      </w:r>
      <w:r>
        <w:rPr>
          <w:rFonts w:ascii="楷体_GB2312;楷体" w:hAnsi="楷体_GB2312;楷体" w:cs="Arial" w:hint="eastAsia" w:eastAsia="楷体_GB2312;楷体"/>
          <w:sz w:val="32"/>
          <w:szCs w:val="32"/>
        </w:rPr>
        <w:t>日吉林省第八届人民代表大会常务委员会第三十三次会议《吉林省人民代表大会常务委员会关于修改〈吉林省土地管理条例〉的决定》修改  根据</w:t>
      </w:r>
      <w:r>
        <w:rPr>
          <w:rFonts w:eastAsia="楷体_GB2312;楷体" w:cs="Arial" w:hint="eastAsia" w:ascii="楷体_GB2312;楷体" w:hAnsi="楷体_GB2312;楷体"/>
          <w:sz w:val="32"/>
          <w:szCs w:val="32"/>
        </w:rPr>
        <w:t>2001</w:t>
      </w:r>
      <w:r>
        <w:rPr>
          <w:rFonts w:ascii="楷体_GB2312;楷体" w:hAnsi="楷体_GB2312;楷体" w:cs="Arial" w:hint="eastAsia" w:eastAsia="楷体_GB2312;楷体"/>
          <w:sz w:val="32"/>
          <w:szCs w:val="32"/>
        </w:rPr>
        <w:t>年</w:t>
      </w:r>
      <w:r>
        <w:rPr>
          <w:rFonts w:eastAsia="楷体_GB2312;楷体" w:cs="Arial" w:hint="eastAsia" w:ascii="楷体_GB2312;楷体" w:hAnsi="楷体_GB2312;楷体"/>
          <w:sz w:val="32"/>
          <w:szCs w:val="32"/>
        </w:rPr>
        <w:t>1</w:t>
      </w:r>
      <w:r>
        <w:rPr>
          <w:rFonts w:ascii="楷体_GB2312;楷体" w:hAnsi="楷体_GB2312;楷体" w:cs="Arial" w:hint="eastAsia" w:eastAsia="楷体_GB2312;楷体"/>
          <w:sz w:val="32"/>
          <w:szCs w:val="32"/>
        </w:rPr>
        <w:t>月</w:t>
      </w:r>
      <w:r>
        <w:rPr>
          <w:rFonts w:eastAsia="楷体_GB2312;楷体" w:cs="Arial" w:hint="eastAsia" w:ascii="楷体_GB2312;楷体" w:hAnsi="楷体_GB2312;楷体"/>
          <w:sz w:val="32"/>
          <w:szCs w:val="32"/>
        </w:rPr>
        <w:t>12</w:t>
      </w:r>
      <w:r>
        <w:rPr>
          <w:rFonts w:ascii="楷体_GB2312;楷体" w:hAnsi="楷体_GB2312;楷体" w:cs="Arial" w:hint="eastAsia" w:eastAsia="楷体_GB2312;楷体"/>
          <w:sz w:val="32"/>
          <w:szCs w:val="32"/>
        </w:rPr>
        <w:t>日吉林省第九届人民代表大会常务委员会第二十一次会议审议通过《吉林省人民政府关于提请废止</w:t>
      </w:r>
      <w:r>
        <w:rPr>
          <w:rFonts w:eastAsia="楷体_GB2312;楷体" w:cs="Arial" w:hint="eastAsia" w:ascii="楷体_GB2312;楷体" w:hAnsi="楷体_GB2312;楷体"/>
          <w:sz w:val="32"/>
          <w:szCs w:val="32"/>
        </w:rPr>
        <w:t>5</w:t>
      </w:r>
      <w:r>
        <w:rPr>
          <w:rFonts w:ascii="楷体_GB2312;楷体" w:hAnsi="楷体_GB2312;楷体" w:cs="Arial" w:hint="eastAsia" w:eastAsia="楷体_GB2312;楷体"/>
          <w:sz w:val="32"/>
          <w:szCs w:val="32"/>
        </w:rPr>
        <w:t>件地方性法规、取消</w:t>
      </w:r>
      <w:r>
        <w:rPr>
          <w:rFonts w:eastAsia="楷体_GB2312;楷体" w:cs="Arial" w:hint="eastAsia" w:ascii="楷体_GB2312;楷体" w:hAnsi="楷体_GB2312;楷体"/>
          <w:sz w:val="32"/>
          <w:szCs w:val="32"/>
        </w:rPr>
        <w:t>27</w:t>
      </w:r>
      <w:r>
        <w:rPr>
          <w:rFonts w:ascii="楷体_GB2312;楷体" w:hAnsi="楷体_GB2312;楷体" w:cs="Arial" w:hint="eastAsia" w:eastAsia="楷体_GB2312;楷体"/>
          <w:sz w:val="32"/>
          <w:szCs w:val="32"/>
        </w:rPr>
        <w:t>件地方性法规中</w:t>
      </w:r>
      <w:r>
        <w:rPr>
          <w:rFonts w:eastAsia="楷体_GB2312;楷体" w:cs="Arial" w:hint="eastAsia" w:ascii="楷体_GB2312;楷体" w:hAnsi="楷体_GB2312;楷体"/>
          <w:sz w:val="32"/>
          <w:szCs w:val="32"/>
        </w:rPr>
        <w:t>60</w:t>
      </w:r>
      <w:r>
        <w:rPr>
          <w:rFonts w:ascii="楷体_GB2312;楷体" w:hAnsi="楷体_GB2312;楷体" w:cs="Arial" w:hint="eastAsia" w:eastAsia="楷体_GB2312;楷体"/>
          <w:sz w:val="32"/>
          <w:szCs w:val="32"/>
        </w:rPr>
        <w:t xml:space="preserve">项行政管理项目的议案》修改  </w:t>
      </w:r>
      <w:r>
        <w:rPr>
          <w:rFonts w:eastAsia="楷体_GB2312;楷体" w:cs="Arial" w:hint="eastAsia" w:ascii="楷体_GB2312;楷体" w:hAnsi="楷体_GB2312;楷体"/>
          <w:sz w:val="32"/>
          <w:szCs w:val="32"/>
        </w:rPr>
        <w:t>2002</w:t>
      </w:r>
      <w:r>
        <w:rPr>
          <w:rFonts w:ascii="楷体_GB2312;楷体" w:hAnsi="楷体_GB2312;楷体" w:cs="Arial" w:hint="eastAsia" w:eastAsia="楷体_GB2312;楷体"/>
          <w:sz w:val="32"/>
          <w:szCs w:val="32"/>
        </w:rPr>
        <w:t>年</w:t>
      </w:r>
      <w:r>
        <w:rPr>
          <w:rFonts w:eastAsia="楷体_GB2312;楷体" w:cs="Arial" w:hint="eastAsia" w:ascii="楷体_GB2312;楷体" w:hAnsi="楷体_GB2312;楷体"/>
          <w:sz w:val="32"/>
          <w:szCs w:val="32"/>
        </w:rPr>
        <w:t>8</w:t>
      </w:r>
      <w:r>
        <w:rPr>
          <w:rFonts w:ascii="楷体_GB2312;楷体" w:hAnsi="楷体_GB2312;楷体" w:cs="Arial" w:hint="eastAsia" w:eastAsia="楷体_GB2312;楷体"/>
          <w:sz w:val="32"/>
          <w:szCs w:val="32"/>
        </w:rPr>
        <w:t>月</w:t>
      </w:r>
      <w:r>
        <w:rPr>
          <w:rFonts w:eastAsia="楷体_GB2312;楷体" w:cs="Arial" w:hint="eastAsia" w:ascii="楷体_GB2312;楷体" w:hAnsi="楷体_GB2312;楷体"/>
          <w:sz w:val="32"/>
          <w:szCs w:val="32"/>
        </w:rPr>
        <w:t>2</w:t>
      </w:r>
      <w:r>
        <w:rPr>
          <w:rFonts w:ascii="楷体_GB2312;楷体" w:hAnsi="楷体_GB2312;楷体" w:cs="Arial" w:hint="eastAsia" w:eastAsia="楷体_GB2312;楷体"/>
          <w:sz w:val="32"/>
          <w:szCs w:val="32"/>
        </w:rPr>
        <w:t>日吉林省第九届人民代表大会常务委员会第三十一次会议修订  根据</w:t>
      </w:r>
      <w:r>
        <w:rPr>
          <w:rFonts w:eastAsia="楷体_GB2312;楷体" w:cs="Arial" w:hint="eastAsia" w:ascii="楷体_GB2312;楷体" w:hAnsi="楷体_GB2312;楷体"/>
          <w:sz w:val="32"/>
          <w:szCs w:val="32"/>
        </w:rPr>
        <w:t>2004</w:t>
      </w:r>
      <w:r>
        <w:rPr>
          <w:rFonts w:ascii="楷体_GB2312;楷体" w:hAnsi="楷体_GB2312;楷体" w:cs="Arial" w:hint="eastAsia" w:eastAsia="楷体_GB2312;楷体"/>
          <w:sz w:val="32"/>
          <w:szCs w:val="32"/>
        </w:rPr>
        <w:t>年</w:t>
      </w:r>
      <w:r>
        <w:rPr>
          <w:rFonts w:eastAsia="楷体_GB2312;楷体" w:cs="Arial" w:hint="eastAsia" w:ascii="楷体_GB2312;楷体" w:hAnsi="楷体_GB2312;楷体"/>
          <w:sz w:val="32"/>
          <w:szCs w:val="32"/>
        </w:rPr>
        <w:t>6</w:t>
      </w:r>
      <w:r>
        <w:rPr>
          <w:rFonts w:ascii="楷体_GB2312;楷体" w:hAnsi="楷体_GB2312;楷体" w:cs="Arial" w:hint="eastAsia" w:eastAsia="楷体_GB2312;楷体"/>
          <w:sz w:val="32"/>
          <w:szCs w:val="32"/>
        </w:rPr>
        <w:t>月</w:t>
      </w:r>
      <w:r>
        <w:rPr>
          <w:rFonts w:eastAsia="楷体_GB2312;楷体" w:cs="Arial" w:hint="eastAsia" w:ascii="楷体_GB2312;楷体" w:hAnsi="楷体_GB2312;楷体"/>
          <w:sz w:val="32"/>
          <w:szCs w:val="32"/>
        </w:rPr>
        <w:t>18</w:t>
      </w:r>
      <w:r>
        <w:rPr>
          <w:rFonts w:ascii="楷体_GB2312;楷体" w:hAnsi="楷体_GB2312;楷体" w:cs="Arial" w:hint="eastAsia" w:eastAsia="楷体_GB2312;楷体"/>
          <w:sz w:val="32"/>
          <w:szCs w:val="32"/>
        </w:rPr>
        <w:t>日吉林省第十届人民代表大会常务委员会第十一次会议《吉林省人民代表大会常务委员会关于废止和修改部分地方性法规的决定》修改  根据</w:t>
      </w:r>
      <w:r>
        <w:rPr>
          <w:rFonts w:eastAsia="楷体_GB2312;楷体" w:cs="Arial" w:hint="eastAsia" w:ascii="楷体_GB2312;楷体" w:hAnsi="楷体_GB2312;楷体"/>
          <w:sz w:val="32"/>
          <w:szCs w:val="32"/>
        </w:rPr>
        <w:t>2005</w:t>
      </w:r>
      <w:r>
        <w:rPr>
          <w:rFonts w:ascii="楷体_GB2312;楷体" w:hAnsi="楷体_GB2312;楷体" w:cs="Arial" w:hint="eastAsia" w:eastAsia="楷体_GB2312;楷体"/>
          <w:sz w:val="32"/>
          <w:szCs w:val="32"/>
        </w:rPr>
        <w:t>年</w:t>
      </w:r>
      <w:r>
        <w:rPr>
          <w:rFonts w:eastAsia="楷体_GB2312;楷体" w:cs="Arial" w:hint="eastAsia" w:ascii="楷体_GB2312;楷体" w:hAnsi="楷体_GB2312;楷体"/>
          <w:sz w:val="32"/>
          <w:szCs w:val="32"/>
        </w:rPr>
        <w:t>6</w:t>
      </w:r>
      <w:r>
        <w:rPr>
          <w:rFonts w:ascii="楷体_GB2312;楷体" w:hAnsi="楷体_GB2312;楷体" w:cs="Arial" w:hint="eastAsia" w:eastAsia="楷体_GB2312;楷体"/>
          <w:sz w:val="32"/>
          <w:szCs w:val="32"/>
        </w:rPr>
        <w:t>月</w:t>
      </w:r>
      <w:r>
        <w:rPr>
          <w:rFonts w:eastAsia="楷体_GB2312;楷体" w:cs="Arial" w:hint="eastAsia" w:ascii="楷体_GB2312;楷体" w:hAnsi="楷体_GB2312;楷体"/>
          <w:sz w:val="32"/>
          <w:szCs w:val="32"/>
        </w:rPr>
        <w:t>2</w:t>
      </w:r>
      <w:r>
        <w:rPr>
          <w:rFonts w:ascii="楷体_GB2312;楷体" w:hAnsi="楷体_GB2312;楷体" w:cs="Arial" w:hint="eastAsia" w:eastAsia="楷体_GB2312;楷体"/>
          <w:sz w:val="32"/>
          <w:szCs w:val="32"/>
        </w:rPr>
        <w:t>日吉林省第十届人民代表大会常务委员会第二十次会议《吉林省人民代表大会常务委员会关于修改〈吉林省土地管理条例〉的决定》修改  根据</w:t>
      </w:r>
      <w:r>
        <w:rPr>
          <w:rFonts w:eastAsia="楷体_GB2312;楷体" w:cs="Arial" w:hint="eastAsia" w:ascii="楷体_GB2312;楷体" w:hAnsi="楷体_GB2312;楷体"/>
          <w:sz w:val="32"/>
          <w:szCs w:val="32"/>
        </w:rPr>
        <w:t>2015</w:t>
      </w:r>
      <w:r>
        <w:rPr>
          <w:rFonts w:ascii="楷体_GB2312;楷体" w:hAnsi="楷体_GB2312;楷体" w:cs="Arial" w:hint="eastAsia" w:eastAsia="楷体_GB2312;楷体"/>
          <w:sz w:val="32"/>
          <w:szCs w:val="32"/>
        </w:rPr>
        <w:t>年</w:t>
      </w:r>
      <w:r>
        <w:rPr>
          <w:rFonts w:eastAsia="楷体_GB2312;楷体" w:cs="Arial" w:hint="eastAsia" w:ascii="楷体_GB2312;楷体" w:hAnsi="楷体_GB2312;楷体"/>
          <w:sz w:val="32"/>
          <w:szCs w:val="32"/>
        </w:rPr>
        <w:t>11</w:t>
      </w:r>
      <w:r>
        <w:rPr>
          <w:rFonts w:ascii="楷体_GB2312;楷体" w:hAnsi="楷体_GB2312;楷体" w:cs="Arial" w:hint="eastAsia" w:eastAsia="楷体_GB2312;楷体"/>
          <w:sz w:val="32"/>
          <w:szCs w:val="32"/>
        </w:rPr>
        <w:t>月</w:t>
      </w:r>
      <w:r>
        <w:rPr>
          <w:rFonts w:eastAsia="楷体_GB2312;楷体" w:cs="Arial" w:hint="eastAsia" w:ascii="楷体_GB2312;楷体" w:hAnsi="楷体_GB2312;楷体"/>
          <w:sz w:val="32"/>
          <w:szCs w:val="32"/>
        </w:rPr>
        <w:t>20</w:t>
      </w:r>
      <w:r>
        <w:rPr>
          <w:rFonts w:ascii="楷体_GB2312;楷体" w:hAnsi="楷体_GB2312;楷体" w:cs="Arial" w:hint="eastAsia" w:eastAsia="楷体_GB2312;楷体"/>
          <w:sz w:val="32"/>
          <w:szCs w:val="32"/>
        </w:rPr>
        <w:t>日吉林省第十二届人民代表大会常务委员会第二十一次会议《吉林省人民代表大会常务委员会关于修改〈吉林省土地管理条例〉等</w:t>
      </w:r>
      <w:r>
        <w:rPr>
          <w:rFonts w:eastAsia="楷体_GB2312;楷体" w:cs="Arial" w:hint="eastAsia" w:ascii="楷体_GB2312;楷体" w:hAnsi="楷体_GB2312;楷体"/>
          <w:sz w:val="32"/>
          <w:szCs w:val="32"/>
        </w:rPr>
        <w:t>7</w:t>
      </w:r>
      <w:r>
        <w:rPr>
          <w:rFonts w:ascii="楷体_GB2312;楷体" w:hAnsi="楷体_GB2312;楷体" w:cs="Arial" w:hint="eastAsia" w:eastAsia="楷体_GB2312;楷体"/>
          <w:sz w:val="32"/>
          <w:szCs w:val="32"/>
        </w:rPr>
        <w:t>件地方性法规的决定》修改  根据</w:t>
      </w:r>
      <w:r>
        <w:rPr>
          <w:rFonts w:eastAsia="楷体_GB2312;楷体" w:cs="Arial" w:hint="eastAsia" w:ascii="楷体_GB2312;楷体" w:hAnsi="楷体_GB2312;楷体"/>
          <w:sz w:val="32"/>
          <w:szCs w:val="32"/>
        </w:rPr>
        <w:t>2017</w:t>
      </w:r>
      <w:r>
        <w:rPr>
          <w:rFonts w:ascii="楷体_GB2312;楷体" w:hAnsi="楷体_GB2312;楷体" w:cs="Arial" w:hint="eastAsia" w:eastAsia="楷体_GB2312;楷体"/>
          <w:sz w:val="32"/>
          <w:szCs w:val="32"/>
        </w:rPr>
        <w:t>年</w:t>
      </w:r>
      <w:r>
        <w:rPr>
          <w:rFonts w:eastAsia="楷体_GB2312;楷体" w:cs="Arial" w:hint="eastAsia" w:ascii="楷体_GB2312;楷体" w:hAnsi="楷体_GB2312;楷体"/>
          <w:sz w:val="32"/>
          <w:szCs w:val="32"/>
        </w:rPr>
        <w:t>12</w:t>
      </w:r>
      <w:r>
        <w:rPr>
          <w:rFonts w:ascii="楷体_GB2312;楷体" w:hAnsi="楷体_GB2312;楷体" w:cs="Arial" w:hint="eastAsia" w:eastAsia="楷体_GB2312;楷体"/>
          <w:sz w:val="32"/>
          <w:szCs w:val="32"/>
        </w:rPr>
        <w:t>月</w:t>
      </w:r>
      <w:r>
        <w:rPr>
          <w:rFonts w:eastAsia="楷体_GB2312;楷体" w:cs="Arial" w:hint="eastAsia" w:ascii="楷体_GB2312;楷体" w:hAnsi="楷体_GB2312;楷体"/>
          <w:sz w:val="32"/>
          <w:szCs w:val="32"/>
        </w:rPr>
        <w:t>1</w:t>
      </w:r>
      <w:r>
        <w:rPr>
          <w:rFonts w:ascii="楷体_GB2312;楷体" w:hAnsi="楷体_GB2312;楷体" w:cs="Arial" w:hint="eastAsia" w:eastAsia="楷体_GB2312;楷体"/>
          <w:sz w:val="32"/>
          <w:szCs w:val="32"/>
        </w:rPr>
        <w:t>日吉林省第十二届人民代表大会常务委员会第三十八次会议《吉林省人民代表大会常务委员会关于修改和废止〈吉林省森林管理条例〉等</w:t>
      </w:r>
      <w:r>
        <w:rPr>
          <w:rFonts w:eastAsia="楷体_GB2312;楷体" w:cs="Arial" w:hint="eastAsia" w:ascii="楷体_GB2312;楷体" w:hAnsi="楷体_GB2312;楷体"/>
          <w:sz w:val="32"/>
          <w:szCs w:val="32"/>
        </w:rPr>
        <w:t>9</w:t>
      </w:r>
      <w:r>
        <w:rPr>
          <w:rFonts w:ascii="楷体_GB2312;楷体" w:hAnsi="楷体_GB2312;楷体" w:cs="Arial" w:hint="eastAsia" w:eastAsia="楷体_GB2312;楷体"/>
          <w:sz w:val="32"/>
          <w:szCs w:val="32"/>
        </w:rPr>
        <w:t>部地方性法规的决定》修改  根据</w:t>
      </w:r>
      <w:r>
        <w:rPr>
          <w:rFonts w:eastAsia="楷体_GB2312;楷体" w:cs="Arial" w:hint="eastAsia" w:ascii="楷体_GB2312;楷体" w:hAnsi="楷体_GB2312;楷体"/>
          <w:sz w:val="32"/>
          <w:szCs w:val="32"/>
        </w:rPr>
        <w:t>2019</w:t>
      </w:r>
      <w:r>
        <w:rPr>
          <w:rFonts w:ascii="楷体_GB2312;楷体" w:hAnsi="楷体_GB2312;楷体" w:cs="Arial" w:hint="eastAsia" w:eastAsia="楷体_GB2312;楷体"/>
          <w:sz w:val="32"/>
          <w:szCs w:val="32"/>
        </w:rPr>
        <w:t>年</w:t>
      </w:r>
      <w:r>
        <w:rPr>
          <w:rFonts w:eastAsia="楷体_GB2312;楷体" w:cs="Arial" w:hint="eastAsia" w:ascii="楷体_GB2312;楷体" w:hAnsi="楷体_GB2312;楷体"/>
          <w:sz w:val="32"/>
          <w:szCs w:val="32"/>
        </w:rPr>
        <w:t>5</w:t>
      </w:r>
      <w:r>
        <w:rPr>
          <w:rFonts w:ascii="楷体_GB2312;楷体" w:hAnsi="楷体_GB2312;楷体" w:cs="Arial" w:hint="eastAsia" w:eastAsia="楷体_GB2312;楷体"/>
          <w:sz w:val="32"/>
          <w:szCs w:val="32"/>
        </w:rPr>
        <w:t>月</w:t>
      </w:r>
      <w:r>
        <w:rPr>
          <w:rFonts w:eastAsia="楷体_GB2312;楷体" w:cs="Arial" w:hint="eastAsia" w:ascii="楷体_GB2312;楷体" w:hAnsi="楷体_GB2312;楷体"/>
          <w:sz w:val="32"/>
          <w:szCs w:val="32"/>
        </w:rPr>
        <w:t>30</w:t>
      </w:r>
      <w:r>
        <w:rPr>
          <w:rFonts w:ascii="楷体_GB2312;楷体" w:hAnsi="楷体_GB2312;楷体" w:cs="Arial" w:hint="eastAsia" w:eastAsia="楷体_GB2312;楷体"/>
          <w:sz w:val="32"/>
          <w:szCs w:val="32"/>
        </w:rPr>
        <w:t>日吉林省第十三届人民代表大会常务委员会第十一次会议《吉林省人民代表大会常务委员会关于修改</w:t>
      </w:r>
      <w:r>
        <w:rPr>
          <w:rFonts w:eastAsia="楷体_GB2312;楷体" w:cs="Arial" w:hint="eastAsia" w:ascii="楷体_GB2312;楷体" w:hAnsi="楷体_GB2312;楷体"/>
          <w:sz w:val="32"/>
          <w:szCs w:val="32"/>
        </w:rPr>
        <w:t>&lt;</w:t>
      </w:r>
      <w:r>
        <w:rPr>
          <w:rFonts w:ascii="楷体_GB2312;楷体" w:hAnsi="楷体_GB2312;楷体" w:cs="Arial" w:hint="eastAsia" w:eastAsia="楷体_GB2312;楷体"/>
          <w:sz w:val="32"/>
          <w:szCs w:val="32"/>
        </w:rPr>
        <w:t>吉林省水文条例</w:t>
      </w:r>
      <w:r>
        <w:rPr>
          <w:rFonts w:eastAsia="楷体_GB2312;楷体" w:cs="Arial" w:hint="eastAsia" w:ascii="楷体_GB2312;楷体" w:hAnsi="楷体_GB2312;楷体"/>
          <w:sz w:val="32"/>
          <w:szCs w:val="32"/>
        </w:rPr>
        <w:t>&gt;</w:t>
      </w:r>
      <w:r>
        <w:rPr>
          <w:rFonts w:ascii="楷体_GB2312;楷体" w:hAnsi="楷体_GB2312;楷体" w:cs="Arial" w:hint="eastAsia" w:eastAsia="楷体_GB2312;楷体"/>
          <w:sz w:val="32"/>
          <w:szCs w:val="32"/>
        </w:rPr>
        <w:t>等</w:t>
      </w:r>
      <w:r>
        <w:rPr>
          <w:rFonts w:eastAsia="楷体_GB2312;楷体" w:cs="Arial" w:hint="eastAsia" w:ascii="楷体_GB2312;楷体" w:hAnsi="楷体_GB2312;楷体"/>
          <w:sz w:val="32"/>
          <w:szCs w:val="32"/>
        </w:rPr>
        <w:t>10</w:t>
      </w:r>
      <w:r>
        <w:rPr>
          <w:rFonts w:ascii="楷体_GB2312;楷体" w:hAnsi="楷体_GB2312;楷体" w:cs="Arial" w:hint="eastAsia" w:eastAsia="楷体_GB2312;楷体"/>
          <w:sz w:val="32"/>
          <w:szCs w:val="32"/>
        </w:rPr>
        <w:t xml:space="preserve">部地方性法规的决定》修改  </w:t>
      </w:r>
      <w:r>
        <w:rPr>
          <w:rFonts w:eastAsia="楷体_GB2312;楷体" w:cs="Arial" w:hint="eastAsia" w:ascii="楷体_GB2312;楷体" w:hAnsi="楷体_GB2312;楷体"/>
          <w:sz w:val="32"/>
          <w:szCs w:val="32"/>
        </w:rPr>
        <w:t>2022</w:t>
      </w:r>
      <w:r>
        <w:rPr>
          <w:rFonts w:ascii="楷体_GB2312;楷体" w:hAnsi="楷体_GB2312;楷体" w:cs="Arial" w:hint="eastAsia" w:eastAsia="楷体_GB2312;楷体"/>
          <w:sz w:val="32"/>
          <w:szCs w:val="32"/>
        </w:rPr>
        <w:t>年</w:t>
      </w:r>
      <w:r>
        <w:rPr>
          <w:rFonts w:eastAsia="楷体_GB2312;楷体" w:cs="Arial" w:hint="eastAsia" w:ascii="楷体_GB2312;楷体" w:hAnsi="楷体_GB2312;楷体"/>
          <w:sz w:val="32"/>
          <w:szCs w:val="32"/>
        </w:rPr>
        <w:t>11</w:t>
      </w:r>
      <w:r>
        <w:rPr>
          <w:rFonts w:ascii="楷体_GB2312;楷体" w:hAnsi="楷体_GB2312;楷体" w:cs="Arial" w:hint="eastAsia" w:eastAsia="楷体_GB2312;楷体"/>
          <w:sz w:val="32"/>
          <w:szCs w:val="32"/>
        </w:rPr>
        <w:t>月</w:t>
      </w:r>
      <w:r>
        <w:rPr>
          <w:rFonts w:eastAsia="楷体_GB2312;楷体" w:cs="Arial" w:hint="eastAsia" w:ascii="楷体_GB2312;楷体" w:hAnsi="楷体_GB2312;楷体"/>
          <w:sz w:val="32"/>
          <w:szCs w:val="32"/>
        </w:rPr>
        <w:t>30</w:t>
      </w:r>
      <w:r>
        <w:rPr>
          <w:rFonts w:ascii="楷体_GB2312;楷体" w:hAnsi="楷体_GB2312;楷体" w:cs="Arial" w:hint="eastAsia" w:eastAsia="楷体_GB2312;楷体"/>
          <w:sz w:val="32"/>
          <w:szCs w:val="32"/>
        </w:rPr>
        <w:t>日吉林省第十三届人民代表大会常务委员会第三十七次会议修订）</w:t>
      </w:r>
    </w:p>
    <w:p>
      <w:pPr>
        <w:pStyle w:val="Normal"/>
        <w:rPr>
          <w:rFonts w:ascii="宋体" w:hAnsi="宋体" w:eastAsia="楷体_GB2312;楷体" w:cs="Arial" w:hint="eastAsia"/>
          <w:sz w:val="32"/>
          <w:szCs w:val="48"/>
        </w:rPr>
      </w:pPr>
      <w:r>
        <w:rPr>
          <w:rFonts w:eastAsia="楷体_GB2312;楷体" w:cs="Arial" w:hint="eastAsia" w:ascii="宋体" w:hAnsi="宋体"/>
          <w:sz w:val="32"/>
          <w:szCs w:val="48"/>
        </w:rPr>
      </w:r>
    </w:p>
    <w:p>
      <w:pPr>
        <w:pStyle w:val="Normal"/>
        <w:jc w:val="center"/>
        <w:rPr>
          <w:rFonts w:ascii="楷体_GB2312;楷体" w:hAnsi="楷体_GB2312;楷体" w:eastAsia="楷体_GB2312;楷体" w:cs="Arial" w:hint="eastAsia"/>
          <w:sz w:val="32"/>
          <w:szCs w:val="32"/>
        </w:rPr>
      </w:pPr>
      <w:r>
        <w:rPr>
          <w:rFonts w:ascii="楷体_GB2312;楷体" w:hAnsi="楷体_GB2312;楷体" w:cs="Arial" w:hint="eastAsia" w:eastAsia="楷体_GB2312;楷体"/>
          <w:sz w:val="32"/>
          <w:szCs w:val="32"/>
        </w:rPr>
        <w:t>目  录</w:t>
      </w:r>
    </w:p>
    <w:p>
      <w:pPr>
        <w:pStyle w:val="Normal"/>
        <w:ind w:firstLineChars="0" w:firstLine="0" w:startChars="309" w:endChars="0" w:end="0"/>
        <w:rPr>
          <w:rFonts w:ascii="楷体_GB2312;楷体" w:hAnsi="楷体_GB2312;楷体" w:eastAsia="楷体_GB2312;楷体" w:cs="Arial" w:hint="eastAsia"/>
          <w:sz w:val="32"/>
          <w:szCs w:val="32"/>
        </w:rPr>
      </w:pPr>
      <w:r>
        <w:fldChar w:fldCharType="begin"/>
      </w:r>
      <w:r>
        <w:rPr>
          <w:rStyle w:val="Hyperlink"/>
          <w:rFonts w:ascii="楷体_GB2312;楷体" w:hAnsi="楷体_GB2312;楷体" w:cs="Arial" w:hint="eastAsia" w:eastAsia="楷体_GB2312;楷体"/>
          <w:color w:val="000000"/>
          <w:sz w:val="32"/>
          <w:szCs w:val="32"/>
        </w:rPr>
        <w:instrText xml:space="preserve"> HYPERLINK "http://law.npc.gov.cn:87/page/secondbrw.cbs?rid=54&amp;order=643&amp;result=c%3A%5Ctemp%5Ctbs%5CH1176DE%2Etmp&amp;page=allindex&amp;f=&amp;field=&amp;transword=++%CC%F5%C0%FD&amp;dkall=1&amp;OpenCondition=FULLTEXT%3D%27%28%23%CA%B1%D0%A7%D0%D4%3D%2A%29+AND+%28%CC%F5%C0%FD%2FFLD%3D%B1%EA%CC%E2%29%27" \l "1%231"</w:instrText>
      </w:r>
      <w:r>
        <w:rPr>
          <w:rStyle w:val="Hyperlink"/>
          <w:rFonts w:ascii="楷体_GB2312;楷体" w:hAnsi="楷体_GB2312;楷体" w:cs="Arial" w:hint="eastAsia" w:eastAsia="楷体_GB2312;楷体"/>
          <w:color w:val="000000"/>
          <w:sz w:val="32"/>
          <w:szCs w:val="32"/>
        </w:rPr>
        <w:fldChar w:fldCharType="separate"/>
      </w:r>
      <w:r>
        <w:rPr>
          <w:rStyle w:val="Hyperlink"/>
          <w:rFonts w:ascii="楷体_GB2312;楷体" w:hAnsi="楷体_GB2312;楷体" w:cs="Arial" w:hint="eastAsia" w:eastAsia="楷体_GB2312;楷体"/>
          <w:color w:val="000000"/>
          <w:sz w:val="32"/>
          <w:szCs w:val="32"/>
        </w:rPr>
        <w:t>第一章　总则</w:t>
      </w:r>
      <w:r>
        <w:rPr>
          <w:rStyle w:val="Hyperlink"/>
          <w:rFonts w:ascii="楷体_GB2312;楷体" w:hAnsi="楷体_GB2312;楷体" w:cs="Arial" w:hint="eastAsia" w:eastAsia="楷体_GB2312;楷体"/>
          <w:color w:val="000000"/>
          <w:sz w:val="32"/>
          <w:szCs w:val="32"/>
        </w:rPr>
        <w:fldChar w:fldCharType="end"/>
      </w:r>
      <w:r>
        <w:rPr>
          <w:rFonts w:eastAsia="楷体_GB2312;楷体" w:cs="Arial" w:hint="eastAsia" w:ascii="楷体_GB2312;楷体" w:hAnsi="楷体_GB2312;楷体"/>
          <w:szCs w:val="32"/>
        </w:rPr>
        <w:br/>
      </w:r>
      <w:r>
        <w:fldChar w:fldCharType="begin"/>
      </w:r>
      <w:r>
        <w:rPr>
          <w:rStyle w:val="Hyperlink"/>
          <w:rFonts w:ascii="楷体_GB2312;楷体" w:hAnsi="楷体_GB2312;楷体" w:cs="Arial" w:hint="eastAsia" w:eastAsia="楷体_GB2312;楷体"/>
          <w:color w:val="000000"/>
          <w:sz w:val="32"/>
          <w:szCs w:val="32"/>
        </w:rPr>
        <w:instrText xml:space="preserve"> HYPERLINK "http://law.npc.gov.cn:87/page/secondbrw.cbs?rid=54&amp;order=643&amp;result=c%3A%5Ctemp%5Ctbs%5CH1176DE%2Etmp&amp;page=allindex&amp;f=&amp;field=&amp;transword=++%CC%F5%C0%FD&amp;dkall=1&amp;OpenCondition=FULLTEXT%3D%27%28%23%CA%B1%D0%A7%D0%D4%3D%2A%29+AND+%28%CC%F5%C0%FD%2FFLD%3D%B1%EA%CC%E2%29%27" \l "2%232"</w:instrText>
      </w:r>
      <w:r>
        <w:rPr>
          <w:rStyle w:val="Hyperlink"/>
          <w:rFonts w:ascii="楷体_GB2312;楷体" w:hAnsi="楷体_GB2312;楷体" w:cs="Arial" w:hint="eastAsia" w:eastAsia="楷体_GB2312;楷体"/>
          <w:color w:val="000000"/>
          <w:sz w:val="32"/>
          <w:szCs w:val="32"/>
        </w:rPr>
        <w:fldChar w:fldCharType="separate"/>
      </w:r>
      <w:r>
        <w:rPr>
          <w:rStyle w:val="Hyperlink"/>
          <w:rFonts w:ascii="楷体_GB2312;楷体" w:hAnsi="楷体_GB2312;楷体" w:cs="Arial" w:hint="eastAsia" w:eastAsia="楷体_GB2312;楷体"/>
          <w:color w:val="000000"/>
          <w:sz w:val="32"/>
          <w:szCs w:val="32"/>
        </w:rPr>
        <w:t>第二章　国</w:t>
      </w:r>
      <w:r>
        <w:rPr>
          <w:rStyle w:val="Hyperlink"/>
          <w:rFonts w:ascii="楷体_GB2312;楷体" w:hAnsi="楷体_GB2312;楷体" w:cs="Arial" w:hint="eastAsia" w:eastAsia="楷体_GB2312;楷体"/>
          <w:color w:val="000000"/>
          <w:sz w:val="32"/>
          <w:szCs w:val="32"/>
        </w:rPr>
        <w:fldChar w:fldCharType="end"/>
      </w:r>
      <w:r>
        <w:rPr>
          <w:rFonts w:ascii="楷体_GB2312;楷体" w:hAnsi="楷体_GB2312;楷体" w:cs="Arial" w:hint="eastAsia" w:eastAsia="楷体_GB2312;楷体"/>
          <w:sz w:val="32"/>
          <w:szCs w:val="32"/>
        </w:rPr>
        <w:t>土空间规划</w:t>
      </w:r>
    </w:p>
    <w:p>
      <w:pPr>
        <w:pStyle w:val="Normal"/>
        <w:ind w:firstLineChars="0" w:firstLine="0" w:startChars="309" w:endChars="0" w:end="0"/>
        <w:rPr>
          <w:rFonts w:ascii="楷体_GB2312;楷体" w:hAnsi="楷体_GB2312;楷体" w:eastAsia="楷体_GB2312;楷体" w:cs="Arial" w:hint="eastAsia"/>
          <w:sz w:val="32"/>
          <w:szCs w:val="32"/>
        </w:rPr>
      </w:pPr>
      <w:r>
        <w:rPr>
          <w:rFonts w:ascii="楷体_GB2312;楷体" w:hAnsi="楷体_GB2312;楷体" w:cs="Arial" w:hint="eastAsia" w:eastAsia="楷体_GB2312;楷体"/>
          <w:sz w:val="32"/>
          <w:szCs w:val="32"/>
        </w:rPr>
        <w:t>第三章  耕地保护</w:t>
      </w:r>
    </w:p>
    <w:p>
      <w:pPr>
        <w:pStyle w:val="Normal"/>
        <w:ind w:firstLineChars="0" w:firstLine="0" w:startChars="309" w:endChars="0" w:end="0"/>
        <w:rPr>
          <w:rFonts w:ascii="楷体_GB2312;楷体" w:hAnsi="楷体_GB2312;楷体" w:eastAsia="楷体_GB2312;楷体" w:cs="Arial" w:hint="eastAsia"/>
          <w:sz w:val="32"/>
          <w:szCs w:val="32"/>
        </w:rPr>
      </w:pPr>
      <w:r>
        <w:rPr>
          <w:rFonts w:ascii="楷体_GB2312;楷体" w:hAnsi="楷体_GB2312;楷体" w:cs="Arial" w:hint="eastAsia" w:eastAsia="楷体_GB2312;楷体"/>
          <w:sz w:val="32"/>
          <w:szCs w:val="32"/>
        </w:rPr>
        <w:t>第四章  土地转用与土地征收</w:t>
      </w:r>
    </w:p>
    <w:p>
      <w:pPr>
        <w:pStyle w:val="Normal"/>
        <w:ind w:firstLineChars="0" w:firstLine="0" w:startChars="309" w:endChars="0" w:end="0"/>
        <w:rPr>
          <w:rFonts w:ascii="楷体_GB2312;楷体" w:hAnsi="楷体_GB2312;楷体" w:eastAsia="楷体_GB2312;楷体" w:cs="Arial" w:hint="eastAsia"/>
          <w:sz w:val="32"/>
          <w:szCs w:val="32"/>
        </w:rPr>
      </w:pPr>
      <w:r>
        <w:rPr>
          <w:rFonts w:ascii="楷体_GB2312;楷体" w:hAnsi="楷体_GB2312;楷体" w:cs="Arial" w:hint="eastAsia" w:eastAsia="楷体_GB2312;楷体"/>
          <w:sz w:val="32"/>
          <w:szCs w:val="32"/>
        </w:rPr>
        <w:t>第五章  建设用地</w:t>
      </w:r>
    </w:p>
    <w:p>
      <w:pPr>
        <w:pStyle w:val="Normal"/>
        <w:ind w:firstLineChars="0" w:firstLine="0" w:startChars="309" w:endChars="0" w:end="0"/>
        <w:rPr/>
      </w:pPr>
      <w:r>
        <w:rPr>
          <w:rFonts w:ascii="楷体_GB2312;楷体" w:hAnsi="楷体_GB2312;楷体" w:cs="Arial" w:hint="eastAsia" w:eastAsia="楷体_GB2312;楷体"/>
          <w:sz w:val="32"/>
          <w:szCs w:val="32"/>
        </w:rPr>
        <w:t>第六章  监督检查</w:t>
      </w:r>
      <w:r>
        <w:rPr>
          <w:rFonts w:eastAsia="楷体_GB2312;楷体" w:cs="Arial" w:hint="eastAsia" w:ascii="楷体_GB2312;楷体" w:hAnsi="楷体_GB2312;楷体"/>
          <w:szCs w:val="32"/>
        </w:rPr>
        <w:br/>
      </w:r>
      <w:r>
        <w:fldChar w:fldCharType="begin"/>
      </w:r>
      <w:r>
        <w:rPr>
          <w:rStyle w:val="Hyperlink"/>
          <w:rFonts w:ascii="楷体_GB2312;楷体" w:hAnsi="楷体_GB2312;楷体" w:cs="Arial" w:hint="eastAsia" w:eastAsia="楷体_GB2312;楷体"/>
          <w:color w:val="000000"/>
          <w:sz w:val="32"/>
          <w:szCs w:val="32"/>
        </w:rPr>
        <w:instrText xml:space="preserve"> HYPERLINK "http://law.npc.gov.cn:87/page/secondbrw.cbs?rid=54&amp;order=643&amp;result=c%3A%5Ctemp%5Ctbs%5CH1176DE%2Etmp&amp;page=allindex&amp;f=&amp;field=&amp;transword=++%CC%F5%C0%FD&amp;dkall=1&amp;OpenCondition=FULLTEXT%3D%27%28%23%CA%B1%D0%A7%D0%D4%3D%2A%29+AND+%28%CC%F5%C0%FD%2FFLD%3D%B1%EA%CC%E2%29%27" \l "6%236"</w:instrText>
      </w:r>
      <w:r>
        <w:rPr>
          <w:rStyle w:val="Hyperlink"/>
          <w:rFonts w:ascii="楷体_GB2312;楷体" w:hAnsi="楷体_GB2312;楷体" w:cs="Arial" w:hint="eastAsia" w:eastAsia="楷体_GB2312;楷体"/>
          <w:color w:val="000000"/>
          <w:sz w:val="32"/>
          <w:szCs w:val="32"/>
        </w:rPr>
        <w:fldChar w:fldCharType="separate"/>
      </w:r>
      <w:r>
        <w:rPr>
          <w:rStyle w:val="Hyperlink"/>
          <w:rFonts w:ascii="楷体_GB2312;楷体" w:hAnsi="楷体_GB2312;楷体" w:cs="Arial" w:hint="eastAsia" w:eastAsia="楷体_GB2312;楷体"/>
          <w:color w:val="000000"/>
          <w:sz w:val="32"/>
          <w:szCs w:val="32"/>
        </w:rPr>
        <w:t>第七章　法律责任</w:t>
      </w:r>
      <w:r>
        <w:rPr>
          <w:rStyle w:val="Hyperlink"/>
          <w:rFonts w:ascii="楷体_GB2312;楷体" w:hAnsi="楷体_GB2312;楷体" w:cs="Arial" w:hint="eastAsia" w:eastAsia="楷体_GB2312;楷体"/>
          <w:color w:val="000000"/>
          <w:sz w:val="32"/>
          <w:szCs w:val="32"/>
        </w:rPr>
        <w:fldChar w:fldCharType="end"/>
      </w:r>
    </w:p>
    <w:p>
      <w:pPr>
        <w:pStyle w:val="Normal"/>
        <w:ind w:firstLineChars="300" w:startChars="0" w:start="0" w:endChars="0" w:end="0"/>
        <w:rPr>
          <w:rFonts w:hint="eastAsia"/>
        </w:rPr>
      </w:pPr>
      <w:r>
        <w:fldChar w:fldCharType="begin"/>
      </w:r>
      <w:r>
        <w:rPr>
          <w:rStyle w:val="Hyperlink"/>
          <w:rFonts w:ascii="楷体_GB2312;楷体" w:hAnsi="楷体_GB2312;楷体" w:cs="Arial" w:hint="eastAsia" w:eastAsia="楷体_GB2312;楷体"/>
          <w:color w:val="000000"/>
          <w:sz w:val="32"/>
          <w:szCs w:val="32"/>
        </w:rPr>
        <w:instrText xml:space="preserve"> HYPERLINK "http://law.npc.gov.cn:87/page/secondbrw.cbs?rid=54&amp;order=643&amp;result=c%3A%5Ctemp%5Ctbs%5CH1176DE%2Etmp&amp;page=allindex&amp;f=&amp;field=&amp;transword=++%CC%F5%C0%FD&amp;dkall=1&amp;OpenCondition=FULLTEXT%3D%27%28%23%CA%B1%D0%A7%D0%D4%3D%2A%29+AND+%28%CC%F5%C0%FD%2FFLD%3D%B1%EA%CC%E2%29%27" \l "7%237"</w:instrText>
      </w:r>
      <w:r>
        <w:rPr>
          <w:rStyle w:val="Hyperlink"/>
          <w:rFonts w:ascii="楷体_GB2312;楷体" w:hAnsi="楷体_GB2312;楷体" w:cs="Arial" w:hint="eastAsia" w:eastAsia="楷体_GB2312;楷体"/>
          <w:color w:val="000000"/>
          <w:sz w:val="32"/>
          <w:szCs w:val="32"/>
        </w:rPr>
        <w:fldChar w:fldCharType="separate"/>
      </w:r>
      <w:r>
        <w:rPr>
          <w:rStyle w:val="Hyperlink"/>
          <w:rFonts w:ascii="楷体_GB2312;楷体" w:hAnsi="楷体_GB2312;楷体" w:cs="Arial" w:hint="eastAsia" w:eastAsia="楷体_GB2312;楷体"/>
          <w:color w:val="000000"/>
          <w:sz w:val="32"/>
          <w:szCs w:val="32"/>
        </w:rPr>
        <w:t>第八章　附则</w:t>
      </w:r>
      <w:r>
        <w:rPr>
          <w:rStyle w:val="Hyperlink"/>
          <w:rFonts w:ascii="楷体_GB2312;楷体" w:hAnsi="楷体_GB2312;楷体" w:cs="Arial" w:hint="eastAsia" w:eastAsia="楷体_GB2312;楷体"/>
          <w:color w:val="000000"/>
          <w:sz w:val="32"/>
          <w:szCs w:val="32"/>
        </w:rPr>
        <w:fldChar w:fldCharType="end"/>
      </w:r>
    </w:p>
    <w:p>
      <w:pPr>
        <w:pStyle w:val="Heading1"/>
        <w:pageBreakBefore w:val="false"/>
        <w:numPr>
          <w:ilvl w:val="0"/>
          <w:numId w:val="0"/>
        </w:numPr>
        <w:kinsoku w:val="true"/>
        <w:overflowPunct w:val="true"/>
        <w:autoSpaceDE w:val="true"/>
        <w:bidi w:val="0"/>
        <w:spacing w:lineRule="exact" w:line="560" w:before="0" w:after="0"/>
        <w:ind w:hanging="0" w:start="0"/>
        <w:jc w:val="center"/>
        <w:textAlignment w:val="auto"/>
        <w:rPr>
          <w:rFonts w:ascii="黑体" w:hAnsi="黑体" w:eastAsia="黑体" w:cs="黑体" w:hint="eastAsia"/>
          <w:b w:val="false"/>
          <w:bCs w:val="false"/>
          <w:color w:val="000000"/>
          <w:sz w:val="32"/>
          <w:szCs w:val="32"/>
          <w:shd w:fill="FFFFFF" w:val="clear"/>
        </w:rPr>
      </w:pPr>
      <w:r>
        <w:rPr>
          <w:rFonts w:ascii="黑体" w:hAnsi="黑体" w:cs="黑体" w:hint="eastAsia" w:eastAsia="黑体"/>
          <w:b w:val="false"/>
          <w:bCs w:val="false"/>
          <w:color w:val="000000"/>
          <w:sz w:val="32"/>
          <w:szCs w:val="32"/>
          <w:shd w:fill="FFFFFF" w:val="clear"/>
        </w:rPr>
        <w:t>第一章  总则</w:t>
      </w:r>
    </w:p>
    <w:p>
      <w:pPr>
        <w:pStyle w:val="Normal"/>
        <w:pageBreakBefore w:val="false"/>
        <w:numPr>
          <w:ilvl w:val="0"/>
          <w:numId w:val="0"/>
        </w:numPr>
        <w:kinsoku w:val="true"/>
        <w:overflowPunct w:val="true"/>
        <w:autoSpaceDE w:val="true"/>
        <w:bidi w:val="0"/>
        <w:ind w:hanging="0" w:start="0"/>
        <w:textAlignment w:val="auto"/>
        <w:rPr>
          <w:rFonts w:ascii="黑体" w:hAnsi="黑体" w:eastAsia="黑体" w:cs="黑体" w:hint="eastAsia"/>
          <w:b w:val="false"/>
          <w:bCs w:val="false"/>
          <w:color w:val="000000"/>
          <w:sz w:val="32"/>
          <w:szCs w:val="32"/>
          <w:shd w:fill="FFFFFF" w:val="clear"/>
        </w:rPr>
      </w:pPr>
      <w:r>
        <w:rPr>
          <w:rFonts w:eastAsia="黑体" w:cs="黑体" w:hint="eastAsia" w:ascii="黑体" w:hAnsi="黑体"/>
          <w:b w:val="false"/>
          <w:bCs w:val="false"/>
          <w:color w:val="000000"/>
          <w:sz w:val="32"/>
          <w:szCs w:val="32"/>
          <w:shd w:fill="FFFFFF" w:val="clear"/>
        </w:rPr>
      </w:r>
    </w:p>
    <w:p>
      <w:pPr>
        <w:pStyle w:val="Style14"/>
        <w:pageBreakBefore w:val="false"/>
        <w:widowControl/>
        <w:shd w:fill="FFFFFF" w:val="clear"/>
        <w:kinsoku w:val="true"/>
        <w:overflowPunct w:val="true"/>
        <w:autoSpaceDE w:val="true"/>
        <w:bidi w:val="0"/>
        <w:spacing w:lineRule="exact" w:line="560"/>
        <w:ind w:firstLineChars="200" w:startChars="0" w:start="0" w:endChars="0" w:end="0"/>
        <w:jc w:val="both"/>
        <w:textAlignment w:val="auto"/>
        <w:rPr>
          <w:rFonts w:ascii="仿宋_GB2312;仿宋" w:hAnsi="仿宋_GB2312;仿宋" w:eastAsia="仿宋_GB2312;仿宋" w:cs="仿宋_GB2312;仿宋"/>
          <w:color w:val="000000"/>
          <w:sz w:val="32"/>
          <w:szCs w:val="32"/>
          <w:shd w:fill="FFFFFF" w:val="clear"/>
        </w:rPr>
      </w:pPr>
      <w:r>
        <w:rPr>
          <w:rFonts w:ascii="黑体" w:hAnsi="黑体" w:cs="黑体" w:hint="eastAsia" w:eastAsia="黑体"/>
          <w:b w:val="false"/>
          <w:bCs/>
          <w:color w:val="000000"/>
          <w:sz w:val="32"/>
          <w:szCs w:val="32"/>
          <w:shd w:fill="FFFFFF" w:val="clear"/>
        </w:rPr>
        <w:t>第一条</w:t>
      </w:r>
      <w:r>
        <w:rPr>
          <w:rFonts w:ascii="黑体" w:hAnsi="黑体" w:cs="黑体" w:hint="eastAsia" w:eastAsia="黑体"/>
          <w:color w:val="000000"/>
          <w:sz w:val="32"/>
          <w:szCs w:val="32"/>
        </w:rPr>
        <w:t xml:space="preserve">  </w:t>
      </w:r>
      <w:r>
        <w:rPr>
          <w:rFonts w:ascii="仿宋_GB2312;仿宋" w:hAnsi="仿宋_GB2312;仿宋" w:cs="仿宋_GB2312;仿宋" w:hint="eastAsia" w:eastAsia="仿宋_GB2312;仿宋"/>
          <w:color w:val="000000"/>
          <w:sz w:val="32"/>
          <w:szCs w:val="32"/>
          <w:shd w:fill="FFFFFF" w:val="clear"/>
        </w:rPr>
        <w:t>为加强土地管理，保护、开发土地资源，合理利用土地，落实最严格的耕地保护制度，促进社会经济的可持续发展，根据《中华人民共和国土地管理法》《中华人民共和国土地管理法实施条例》以及有关法律、行政法规，结合本省实际，制定本条例。</w:t>
      </w:r>
    </w:p>
    <w:p>
      <w:pPr>
        <w:pStyle w:val="Normal"/>
        <w:pageBreakBefore w:val="false"/>
        <w:kinsoku w:val="true"/>
        <w:overflowPunct w:val="true"/>
        <w:autoSpaceDE w:val="true"/>
        <w:bidi w:val="0"/>
        <w:spacing w:lineRule="exact" w:line="560"/>
        <w:ind w:firstLineChars="200" w:startChars="0" w:start="0" w:endChars="0" w:end="0"/>
        <w:textAlignment w:val="auto"/>
        <w:rPr>
          <w:rFonts w:ascii="仿宋" w:hAnsi="仿宋" w:eastAsia="仿宋" w:cs="仿宋"/>
          <w:b/>
          <w:bCs/>
          <w:color w:val="000000"/>
          <w:sz w:val="32"/>
          <w:szCs w:val="32"/>
        </w:rPr>
      </w:pPr>
      <w:r>
        <w:rPr>
          <w:rFonts w:ascii="黑体" w:hAnsi="黑体" w:cs="黑体" w:hint="eastAsia" w:eastAsia="黑体"/>
          <w:color w:val="000000"/>
          <w:sz w:val="32"/>
          <w:szCs w:val="32"/>
        </w:rPr>
        <w:t xml:space="preserve">第二条  </w:t>
      </w:r>
      <w:r>
        <w:rPr>
          <w:rFonts w:ascii="仿宋_GB2312;仿宋" w:hAnsi="仿宋_GB2312;仿宋" w:cs="仿宋_GB2312;仿宋" w:hint="eastAsia" w:eastAsia="仿宋_GB2312;仿宋"/>
          <w:color w:val="000000"/>
          <w:kern w:val="0"/>
          <w:sz w:val="32"/>
          <w:szCs w:val="32"/>
          <w:shd w:fill="FFFFFF" w:val="clear"/>
        </w:rPr>
        <w:t>本省行政区域内土地的保护、开发、利用和监督管理，适用本条例。</w:t>
      </w:r>
    </w:p>
    <w:p>
      <w:pPr>
        <w:pStyle w:val="Style14"/>
        <w:pageBreakBefore w:val="false"/>
        <w:widowControl/>
        <w:shd w:fill="FFFFFF" w:val="clear"/>
        <w:kinsoku w:val="true"/>
        <w:overflowPunct w:val="true"/>
        <w:autoSpaceDE w:val="true"/>
        <w:bidi w:val="0"/>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z w:val="32"/>
          <w:szCs w:val="32"/>
          <w:shd w:fill="FFFFFF" w:val="clear"/>
        </w:rPr>
      </w:pPr>
      <w:r>
        <w:rPr>
          <w:rFonts w:ascii="黑体" w:hAnsi="黑体" w:cs="黑体" w:hint="eastAsia" w:eastAsia="黑体"/>
          <w:b w:val="false"/>
          <w:bCs/>
          <w:color w:val="000000"/>
          <w:sz w:val="32"/>
          <w:szCs w:val="32"/>
          <w:shd w:fill="FFFFFF" w:val="clear"/>
        </w:rPr>
        <w:t xml:space="preserve">第三条  </w:t>
      </w:r>
      <w:r>
        <w:rPr>
          <w:rFonts w:ascii="仿宋_GB2312;仿宋" w:hAnsi="仿宋_GB2312;仿宋" w:cs="仿宋_GB2312;仿宋" w:hint="eastAsia" w:eastAsia="仿宋_GB2312;仿宋"/>
          <w:color w:val="000000"/>
          <w:sz w:val="32"/>
          <w:szCs w:val="32"/>
          <w:shd w:fill="FFFFFF" w:val="clear"/>
        </w:rPr>
        <w:t>贯彻十分珍惜、合理利用土地和切实保护耕地的基本国策。各级人民政府应当严格执行土地用途管制制度，严格限制农用地转为建设用地，控制建设用地总量，对耕地实行特殊保护；坚持土地节约集约利用，加强土地生态保护和修复，推动绿色发展；制止非法占用土地的行为。</w:t>
      </w:r>
    </w:p>
    <w:p>
      <w:pPr>
        <w:pStyle w:val="Style14"/>
        <w:pageBreakBefore w:val="false"/>
        <w:widowControl/>
        <w:shd w:fill="FFFFFF" w:val="clear"/>
        <w:kinsoku w:val="true"/>
        <w:overflowPunct w:val="true"/>
        <w:autoSpaceDE w:val="true"/>
        <w:bidi w:val="0"/>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z w:val="32"/>
          <w:szCs w:val="32"/>
          <w:shd w:fill="FFFFFF" w:val="clear"/>
        </w:rPr>
      </w:pPr>
      <w:r>
        <w:rPr>
          <w:rFonts w:ascii="黑体" w:hAnsi="黑体" w:cs="黑体" w:hint="eastAsia" w:eastAsia="黑体"/>
          <w:b w:val="false"/>
          <w:bCs/>
          <w:color w:val="000000"/>
          <w:sz w:val="32"/>
          <w:szCs w:val="32"/>
          <w:shd w:fill="FFFFFF" w:val="clear"/>
        </w:rPr>
        <w:t>第四条</w:t>
      </w:r>
      <w:r>
        <w:rPr>
          <w:rFonts w:ascii="黑体" w:hAnsi="黑体" w:cs="黑体" w:hint="eastAsia" w:eastAsia="黑体"/>
          <w:color w:val="000000"/>
          <w:sz w:val="32"/>
          <w:szCs w:val="32"/>
        </w:rPr>
        <w:t xml:space="preserve">  </w:t>
      </w:r>
      <w:r>
        <w:rPr>
          <w:rFonts w:ascii="仿宋_GB2312;仿宋" w:hAnsi="仿宋_GB2312;仿宋" w:cs="仿宋_GB2312;仿宋" w:hint="eastAsia" w:eastAsia="仿宋_GB2312;仿宋"/>
          <w:color w:val="000000"/>
          <w:sz w:val="32"/>
          <w:szCs w:val="32"/>
          <w:shd w:fill="FFFFFF" w:val="clear"/>
        </w:rPr>
        <w:t>县级以上人民政府自然资源主管部门负责本行政区域内土地管理和监督工作。</w:t>
      </w:r>
    </w:p>
    <w:p>
      <w:pPr>
        <w:pStyle w:val="Style14"/>
        <w:pageBreakBefore w:val="false"/>
        <w:widowControl/>
        <w:shd w:fill="FFFFFF" w:val="clear"/>
        <w:kinsoku w:val="true"/>
        <w:overflowPunct w:val="true"/>
        <w:autoSpaceDE w:val="true"/>
        <w:bidi w:val="0"/>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z w:val="32"/>
          <w:szCs w:val="32"/>
          <w:shd w:fill="FFFFFF" w:val="clear"/>
        </w:rPr>
      </w:pPr>
      <w:r>
        <w:rPr>
          <w:rFonts w:ascii="仿宋_GB2312;仿宋" w:hAnsi="仿宋_GB2312;仿宋" w:cs="仿宋_GB2312;仿宋" w:hint="eastAsia" w:eastAsia="仿宋_GB2312;仿宋"/>
          <w:color w:val="000000"/>
          <w:sz w:val="32"/>
          <w:szCs w:val="32"/>
          <w:shd w:fill="FFFFFF" w:val="clear"/>
        </w:rPr>
        <w:t>县级以上人民政府农业农村主管部门负责本行政区域内耕地质量管理以及农村宅基地改革和管理工作。</w:t>
      </w:r>
    </w:p>
    <w:p>
      <w:pPr>
        <w:pStyle w:val="Style14"/>
        <w:pageBreakBefore w:val="false"/>
        <w:widowControl/>
        <w:shd w:fill="FFFFFF" w:val="clear"/>
        <w:kinsoku w:val="true"/>
        <w:overflowPunct w:val="true"/>
        <w:autoSpaceDE w:val="true"/>
        <w:bidi w:val="0"/>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z w:val="32"/>
          <w:szCs w:val="32"/>
          <w:shd w:fill="FFFFFF" w:val="clear"/>
        </w:rPr>
      </w:pPr>
      <w:r>
        <w:rPr>
          <w:rFonts w:ascii="仿宋_GB2312;仿宋" w:hAnsi="仿宋_GB2312;仿宋" w:cs="仿宋_GB2312;仿宋" w:hint="eastAsia" w:eastAsia="仿宋_GB2312;仿宋"/>
          <w:color w:val="000000"/>
          <w:sz w:val="32"/>
          <w:szCs w:val="32"/>
          <w:shd w:fill="FFFFFF" w:val="clear"/>
        </w:rPr>
        <w:t>县级以上人民政府发展和改革、财政、人力资源和社会保障、生态环境、住房和城乡建设、水利、统计、林业和草原等有关部门按照各自职责，做好本行政区域内土地管理相关工作。</w:t>
      </w:r>
    </w:p>
    <w:p>
      <w:pPr>
        <w:pStyle w:val="Style14"/>
        <w:pageBreakBefore w:val="false"/>
        <w:widowControl/>
        <w:shd w:fill="FFFFFF" w:val="clear"/>
        <w:kinsoku w:val="true"/>
        <w:overflowPunct w:val="true"/>
        <w:autoSpaceDE w:val="true"/>
        <w:bidi w:val="0"/>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z w:val="32"/>
          <w:szCs w:val="32"/>
          <w:shd w:fill="FFFFFF" w:val="clear"/>
        </w:rPr>
      </w:pPr>
      <w:r>
        <w:rPr>
          <w:rFonts w:ascii="仿宋_GB2312;仿宋" w:hAnsi="仿宋_GB2312;仿宋" w:cs="仿宋_GB2312;仿宋" w:hint="eastAsia" w:eastAsia="仿宋_GB2312;仿宋"/>
          <w:color w:val="000000"/>
          <w:sz w:val="32"/>
          <w:szCs w:val="32"/>
          <w:shd w:fill="FFFFFF" w:val="clear"/>
        </w:rPr>
        <w:t>乡（镇）人民政府、街道办事处按照土地管理法律、法规、规章和上级人民政府的规定，做好辖区内土地管理相关工作。</w:t>
      </w:r>
    </w:p>
    <w:p>
      <w:pPr>
        <w:pStyle w:val="Normal"/>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color w:val="000000"/>
          <w:kern w:val="0"/>
          <w:sz w:val="32"/>
          <w:szCs w:val="32"/>
          <w:shd w:fill="FFFFFF" w:val="clear"/>
        </w:rPr>
      </w:pPr>
      <w:r>
        <w:rPr>
          <w:rFonts w:ascii="黑体" w:hAnsi="黑体" w:cs="黑体" w:hint="eastAsia" w:eastAsia="黑体"/>
          <w:color w:val="000000"/>
          <w:sz w:val="32"/>
          <w:szCs w:val="32"/>
        </w:rPr>
        <w:t xml:space="preserve">第五条  </w:t>
      </w:r>
      <w:r>
        <w:rPr>
          <w:rFonts w:ascii="仿宋_GB2312;仿宋" w:hAnsi="仿宋_GB2312;仿宋" w:cs="仿宋_GB2312;仿宋" w:hint="eastAsia" w:eastAsia="仿宋_GB2312;仿宋"/>
          <w:color w:val="000000"/>
          <w:kern w:val="0"/>
          <w:sz w:val="32"/>
          <w:szCs w:val="32"/>
          <w:shd w:fill="FFFFFF" w:val="clear"/>
        </w:rPr>
        <w:t>县级以上人民政府自然资源主管部门应当加强土地管理信息化建设，建立统一的覆盖国土空间规划、耕地保护、土地开发利用、不动产登记、土地调查、执法监督等事项的国土空间基础信息平台，实行土地管理全流程信息化管理，对土地利用状况进行动态监测，与发展和改革、住房和城乡建设等有关部门建立土地管理信息共享机制，依法公开土地管理信息。</w:t>
      </w:r>
    </w:p>
    <w:p>
      <w:pPr>
        <w:pStyle w:val="Normal"/>
        <w:pageBreakBefore w:val="false"/>
        <w:widowControl w:val="false"/>
        <w:pBdr/>
        <w:kinsoku w:val="true"/>
        <w:overflowPunct w:val="true"/>
        <w:autoSpaceDE w:val="true"/>
        <w:bidi w:val="0"/>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shd w:fill="FFFFFF" w:val="clear"/>
        </w:rPr>
      </w:pPr>
      <w:r>
        <w:rPr>
          <w:rFonts w:ascii="黑体" w:hAnsi="黑体" w:cs="黑体" w:hint="eastAsia" w:eastAsia="黑体"/>
          <w:b w:val="false"/>
          <w:bCs w:val="false"/>
          <w:color w:val="000000"/>
          <w:sz w:val="32"/>
          <w:szCs w:val="32"/>
        </w:rPr>
        <w:t xml:space="preserve">第六条  </w:t>
      </w:r>
      <w:r>
        <w:rPr>
          <w:rFonts w:ascii="仿宋_GB2312;仿宋" w:hAnsi="仿宋_GB2312;仿宋" w:cs="仿宋_GB2312;仿宋" w:hint="eastAsia" w:eastAsia="仿宋_GB2312;仿宋"/>
          <w:color w:val="000000"/>
          <w:kern w:val="0"/>
          <w:sz w:val="32"/>
          <w:szCs w:val="32"/>
          <w:shd w:fill="FFFFFF" w:val="clear"/>
        </w:rPr>
        <w:t>各级人民政府及有关部门应当通过新闻媒体加强对土地管理法律、法规的宣传教育，增强全社会珍惜土地、节约用地、保护耕地的意识。</w:t>
      </w:r>
    </w:p>
    <w:p>
      <w:pPr>
        <w:pStyle w:val="Style14"/>
        <w:pageBreakBefore w:val="false"/>
        <w:widowControl/>
        <w:shd w:fill="FFFFFF" w:val="clear"/>
        <w:kinsoku w:val="true"/>
        <w:overflowPunct w:val="true"/>
        <w:autoSpaceDE w:val="true"/>
        <w:bidi w:val="0"/>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z w:val="32"/>
          <w:szCs w:val="32"/>
          <w:shd w:fill="FFFFFF" w:val="clear"/>
        </w:rPr>
      </w:pPr>
      <w:r>
        <w:rPr>
          <w:rFonts w:ascii="黑体" w:hAnsi="黑体" w:cs="黑体" w:hint="eastAsia" w:eastAsia="黑体"/>
          <w:color w:val="000000"/>
          <w:sz w:val="32"/>
          <w:szCs w:val="32"/>
        </w:rPr>
        <w:t xml:space="preserve">第七条  </w:t>
      </w:r>
      <w:r>
        <w:rPr>
          <w:rFonts w:ascii="仿宋_GB2312;仿宋" w:hAnsi="仿宋_GB2312;仿宋" w:cs="仿宋_GB2312;仿宋" w:hint="eastAsia" w:eastAsia="仿宋_GB2312;仿宋"/>
          <w:color w:val="000000"/>
          <w:sz w:val="32"/>
          <w:szCs w:val="32"/>
          <w:shd w:fill="FFFFFF" w:val="clear"/>
        </w:rPr>
        <w:t>在保护和开发土地资源、合理利用土地以及进行有关的科学研究等方面成绩显著的单位和个人，由人民政府给予奖励。</w:t>
      </w:r>
    </w:p>
    <w:p>
      <w:pPr>
        <w:pStyle w:val="Heading1"/>
        <w:pageBreakBefore w:val="false"/>
        <w:kinsoku w:val="true"/>
        <w:overflowPunct w:val="true"/>
        <w:autoSpaceDE w:val="true"/>
        <w:bidi w:val="0"/>
        <w:spacing w:lineRule="exact" w:line="560" w:before="0" w:after="0"/>
        <w:ind w:hanging="0" w:start="0"/>
        <w:jc w:val="center"/>
        <w:textAlignment w:val="auto"/>
        <w:rPr>
          <w:rFonts w:ascii="黑体" w:hAnsi="黑体" w:eastAsia="黑体" w:cs="黑体" w:hint="eastAsia"/>
          <w:b w:val="false"/>
          <w:bCs w:val="false"/>
          <w:color w:val="000000"/>
          <w:sz w:val="32"/>
          <w:szCs w:val="32"/>
          <w:shd w:fill="FFFFFF" w:val="clear"/>
        </w:rPr>
      </w:pPr>
      <w:r>
        <w:rPr>
          <w:rFonts w:eastAsia="黑体" w:cs="黑体" w:hint="eastAsia" w:ascii="黑体" w:hAnsi="黑体"/>
          <w:b w:val="false"/>
          <w:bCs w:val="false"/>
          <w:color w:val="000000"/>
          <w:sz w:val="32"/>
          <w:szCs w:val="32"/>
          <w:shd w:fill="FFFFFF" w:val="clear"/>
        </w:rPr>
      </w:r>
    </w:p>
    <w:p>
      <w:pPr>
        <w:pStyle w:val="Heading1"/>
        <w:pageBreakBefore w:val="false"/>
        <w:numPr>
          <w:ilvl w:val="0"/>
          <w:numId w:val="0"/>
        </w:numPr>
        <w:kinsoku w:val="true"/>
        <w:overflowPunct w:val="true"/>
        <w:autoSpaceDE w:val="true"/>
        <w:bidi w:val="0"/>
        <w:spacing w:lineRule="exact" w:line="560" w:before="0" w:after="0"/>
        <w:ind w:hanging="0" w:start="0"/>
        <w:jc w:val="center"/>
        <w:textAlignment w:val="auto"/>
        <w:rPr>
          <w:rFonts w:ascii="黑体" w:hAnsi="黑体" w:eastAsia="黑体" w:cs="黑体" w:hint="eastAsia"/>
          <w:b w:val="false"/>
          <w:bCs w:val="false"/>
          <w:color w:val="000000"/>
          <w:sz w:val="32"/>
          <w:szCs w:val="32"/>
          <w:shd w:fill="FFFFFF" w:val="clear"/>
        </w:rPr>
      </w:pPr>
      <w:r>
        <w:rPr>
          <w:rFonts w:ascii="黑体" w:hAnsi="黑体" w:cs="黑体" w:hint="eastAsia" w:eastAsia="黑体"/>
          <w:b w:val="false"/>
          <w:bCs w:val="false"/>
          <w:color w:val="000000"/>
          <w:sz w:val="32"/>
          <w:szCs w:val="32"/>
          <w:shd w:fill="FFFFFF" w:val="clear"/>
        </w:rPr>
        <w:t>第二章  国土空间规划</w:t>
      </w:r>
    </w:p>
    <w:p>
      <w:pPr>
        <w:pStyle w:val="Normal"/>
        <w:pageBreakBefore w:val="false"/>
        <w:numPr>
          <w:ilvl w:val="0"/>
          <w:numId w:val="0"/>
        </w:numPr>
        <w:kinsoku w:val="true"/>
        <w:overflowPunct w:val="true"/>
        <w:autoSpaceDE w:val="true"/>
        <w:bidi w:val="0"/>
        <w:spacing w:lineRule="exact" w:line="560"/>
        <w:ind w:hanging="0" w:start="0"/>
        <w:textAlignment w:val="auto"/>
        <w:rPr>
          <w:rFonts w:ascii="黑体" w:hAnsi="黑体" w:eastAsia="黑体" w:cs="黑体" w:hint="eastAsia"/>
          <w:b w:val="false"/>
          <w:bCs w:val="false"/>
          <w:color w:val="000000"/>
          <w:sz w:val="32"/>
          <w:szCs w:val="32"/>
          <w:shd w:fill="FFFFFF" w:val="clear"/>
        </w:rPr>
      </w:pPr>
      <w:r>
        <w:rPr>
          <w:rFonts w:eastAsia="黑体" w:cs="黑体" w:hint="eastAsia" w:ascii="黑体" w:hAnsi="黑体"/>
          <w:b w:val="false"/>
          <w:bCs w:val="false"/>
          <w:color w:val="000000"/>
          <w:sz w:val="32"/>
          <w:szCs w:val="32"/>
          <w:shd w:fill="FFFFFF" w:val="clear"/>
        </w:rPr>
      </w:r>
    </w:p>
    <w:p>
      <w:pPr>
        <w:pStyle w:val="Normal"/>
        <w:pageBreakBefore w:val="false"/>
        <w:pBdr/>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color w:val="000000"/>
          <w:kern w:val="0"/>
          <w:sz w:val="32"/>
          <w:szCs w:val="32"/>
          <w:shd w:fill="FFFFFF" w:val="clear"/>
        </w:rPr>
      </w:pPr>
      <w:r>
        <w:rPr>
          <w:rFonts w:ascii="黑体" w:hAnsi="黑体" w:cs="黑体" w:hint="eastAsia" w:eastAsia="黑体"/>
          <w:color w:val="000000"/>
          <w:sz w:val="32"/>
          <w:szCs w:val="32"/>
        </w:rPr>
        <w:t>第八条</w:t>
      </w:r>
      <w:r>
        <w:rPr>
          <w:rFonts w:ascii="仿宋" w:hAnsi="仿宋" w:cs="仿宋" w:hint="eastAsia" w:eastAsia="仿宋"/>
          <w:color w:val="000000"/>
          <w:sz w:val="32"/>
          <w:szCs w:val="32"/>
        </w:rPr>
        <w:t xml:space="preserve">  </w:t>
      </w:r>
      <w:r>
        <w:rPr>
          <w:rFonts w:ascii="仿宋_GB2312;仿宋" w:hAnsi="仿宋_GB2312;仿宋" w:cs="仿宋_GB2312;仿宋" w:hint="eastAsia" w:eastAsia="仿宋_GB2312;仿宋"/>
          <w:color w:val="000000"/>
          <w:kern w:val="0"/>
          <w:sz w:val="32"/>
          <w:szCs w:val="32"/>
          <w:shd w:fill="FFFFFF" w:val="clear"/>
        </w:rPr>
        <w:t>各级人民政府应当依法组织编制国土空间规划，对一定区域国土空间开发保护在空间和时间上作出合理安排，为国民经济和社会发展提供空间保障。</w:t>
      </w:r>
    </w:p>
    <w:p>
      <w:pPr>
        <w:pStyle w:val="Normal"/>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color w:val="000000"/>
          <w:kern w:val="0"/>
          <w:sz w:val="32"/>
          <w:szCs w:val="32"/>
          <w:shd w:fill="FFFFFF" w:val="clear"/>
        </w:rPr>
      </w:pPr>
      <w:r>
        <w:rPr>
          <w:rFonts w:ascii="仿宋_GB2312;仿宋" w:hAnsi="仿宋_GB2312;仿宋" w:cs="仿宋_GB2312;仿宋" w:hint="eastAsia" w:eastAsia="仿宋_GB2312;仿宋"/>
          <w:color w:val="000000"/>
          <w:kern w:val="0"/>
          <w:sz w:val="32"/>
          <w:szCs w:val="32"/>
          <w:shd w:fill="FFFFFF" w:val="clear"/>
        </w:rPr>
        <w:t>经依法批准的国土空间规划是各类开发、保护、建设活动的基本依据。</w:t>
      </w:r>
    </w:p>
    <w:p>
      <w:pPr>
        <w:pStyle w:val="Normal"/>
        <w:pageBreakBefore w:val="false"/>
        <w:numPr>
          <w:ilvl w:val="0"/>
          <w:numId w:val="0"/>
        </w:numPr>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color w:val="000000"/>
          <w:kern w:val="0"/>
          <w:sz w:val="32"/>
          <w:szCs w:val="32"/>
          <w:shd w:fill="FFFFFF" w:val="clear"/>
        </w:rPr>
      </w:pPr>
      <w:r>
        <w:rPr>
          <w:rFonts w:ascii="黑体" w:hAnsi="黑体" w:cs="黑体" w:hint="eastAsia" w:eastAsia="黑体"/>
          <w:color w:val="000000"/>
          <w:sz w:val="32"/>
          <w:szCs w:val="32"/>
        </w:rPr>
        <w:t xml:space="preserve">第九条  </w:t>
      </w:r>
      <w:r>
        <w:rPr>
          <w:rFonts w:ascii="仿宋_GB2312;仿宋" w:hAnsi="仿宋_GB2312;仿宋" w:cs="仿宋_GB2312;仿宋" w:hint="eastAsia" w:eastAsia="仿宋_GB2312;仿宋"/>
          <w:color w:val="000000"/>
          <w:kern w:val="0"/>
          <w:sz w:val="32"/>
          <w:szCs w:val="32"/>
          <w:shd w:fill="FFFFFF" w:val="clear"/>
        </w:rPr>
        <w:t>国土空间规划包括：</w:t>
      </w:r>
    </w:p>
    <w:p>
      <w:pPr>
        <w:pStyle w:val="Normal"/>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color w:val="000000"/>
          <w:kern w:val="0"/>
          <w:sz w:val="32"/>
          <w:szCs w:val="32"/>
          <w:shd w:fill="FFFFFF" w:val="clear"/>
        </w:rPr>
      </w:pPr>
      <w:r>
        <w:rPr>
          <w:rFonts w:ascii="仿宋_GB2312;仿宋" w:hAnsi="仿宋_GB2312;仿宋" w:cs="仿宋_GB2312;仿宋" w:hint="eastAsia" w:eastAsia="仿宋_GB2312;仿宋"/>
          <w:color w:val="000000"/>
          <w:kern w:val="0"/>
          <w:sz w:val="32"/>
          <w:szCs w:val="32"/>
          <w:shd w:fill="FFFFFF" w:val="clear"/>
        </w:rPr>
        <w:t>（一）省、市（州）、县（市）、乡（镇）国土空间总体规划；</w:t>
      </w:r>
    </w:p>
    <w:p>
      <w:pPr>
        <w:pStyle w:val="Normal"/>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color w:val="000000"/>
          <w:kern w:val="0"/>
          <w:sz w:val="32"/>
          <w:szCs w:val="32"/>
          <w:shd w:fill="FFFFFF" w:val="clear"/>
        </w:rPr>
      </w:pPr>
      <w:r>
        <w:rPr>
          <w:rFonts w:ascii="仿宋_GB2312;仿宋" w:hAnsi="仿宋_GB2312;仿宋" w:cs="仿宋_GB2312;仿宋" w:hint="eastAsia" w:eastAsia="仿宋_GB2312;仿宋"/>
          <w:color w:val="000000"/>
          <w:kern w:val="0"/>
          <w:sz w:val="32"/>
          <w:szCs w:val="32"/>
          <w:shd w:fill="FFFFFF" w:val="clear"/>
        </w:rPr>
        <w:t>（二）省、市（州）、县（市）国土空间相关专项规划；</w:t>
      </w:r>
    </w:p>
    <w:p>
      <w:pPr>
        <w:pStyle w:val="Normal"/>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color w:val="000000"/>
          <w:kern w:val="0"/>
          <w:sz w:val="32"/>
          <w:szCs w:val="32"/>
          <w:shd w:fill="FFFFFF" w:val="clear"/>
        </w:rPr>
      </w:pPr>
      <w:r>
        <w:rPr>
          <w:rFonts w:ascii="仿宋_GB2312;仿宋" w:hAnsi="仿宋_GB2312;仿宋" w:cs="仿宋_GB2312;仿宋" w:hint="eastAsia" w:eastAsia="仿宋_GB2312;仿宋"/>
          <w:color w:val="000000"/>
          <w:kern w:val="0"/>
          <w:sz w:val="32"/>
          <w:szCs w:val="32"/>
          <w:shd w:fill="FFFFFF" w:val="clear"/>
        </w:rPr>
        <w:t>（三）设区的市、县（市）、乡（镇）国土空间详细规划，包括在城镇开发边界内的详细规划和在城镇开发边界外的村庄规划。</w:t>
      </w:r>
    </w:p>
    <w:p>
      <w:pPr>
        <w:pStyle w:val="Style14"/>
        <w:pageBreakBefore w:val="false"/>
        <w:widowControl/>
        <w:shd w:fill="FFFFFF" w:val="clear"/>
        <w:kinsoku w:val="true"/>
        <w:overflowPunct w:val="true"/>
        <w:autoSpaceDE w:val="true"/>
        <w:bidi w:val="0"/>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shd w:fill="FFFFFF" w:val="clear"/>
        </w:rPr>
      </w:pPr>
      <w:r>
        <w:rPr>
          <w:rFonts w:ascii="仿宋_GB2312;仿宋" w:hAnsi="仿宋_GB2312;仿宋" w:cs="仿宋_GB2312;仿宋" w:hint="eastAsia" w:eastAsia="仿宋_GB2312;仿宋"/>
          <w:color w:val="000000"/>
          <w:kern w:val="0"/>
          <w:sz w:val="32"/>
          <w:szCs w:val="32"/>
          <w:shd w:fill="FFFFFF" w:val="clear"/>
        </w:rPr>
        <w:t>下级国土空间规划应当服从上级国土空间规划。相关专项规划、详细规划应当服从总体规划。</w:t>
      </w:r>
    </w:p>
    <w:p>
      <w:pPr>
        <w:pStyle w:val="Style14"/>
        <w:pageBreakBefore w:val="false"/>
        <w:widowControl/>
        <w:shd w:fill="FFFFFF" w:val="clear"/>
        <w:kinsoku w:val="true"/>
        <w:overflowPunct w:val="true"/>
        <w:autoSpaceDE w:val="true"/>
        <w:bidi w:val="0"/>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z w:val="32"/>
          <w:szCs w:val="32"/>
          <w:shd w:fill="FFFFFF" w:val="clear"/>
        </w:rPr>
      </w:pPr>
      <w:r>
        <w:rPr>
          <w:rFonts w:ascii="黑体" w:hAnsi="黑体" w:cs="黑体" w:hint="eastAsia" w:eastAsia="黑体"/>
          <w:color w:val="000000"/>
          <w:sz w:val="32"/>
          <w:szCs w:val="32"/>
        </w:rPr>
        <w:t xml:space="preserve">第十条 </w:t>
      </w:r>
      <w:r>
        <w:rPr>
          <w:rFonts w:ascii="仿宋_GB2312;仿宋" w:hAnsi="仿宋_GB2312;仿宋" w:cs="仿宋_GB2312;仿宋" w:hint="eastAsia" w:eastAsia="仿宋_GB2312;仿宋"/>
          <w:color w:val="000000"/>
          <w:sz w:val="32"/>
          <w:szCs w:val="32"/>
        </w:rPr>
        <w:t xml:space="preserve"> </w:t>
      </w:r>
      <w:r>
        <w:rPr>
          <w:rFonts w:ascii="仿宋_GB2312;仿宋" w:hAnsi="仿宋_GB2312;仿宋" w:cs="仿宋_GB2312;仿宋" w:hint="eastAsia" w:eastAsia="仿宋_GB2312;仿宋"/>
          <w:color w:val="000000"/>
          <w:sz w:val="32"/>
          <w:szCs w:val="32"/>
          <w:shd w:fill="FFFFFF" w:val="clear"/>
        </w:rPr>
        <w:t>省国土空间总体规划由省人民政府组织编制，经省人民代表大会常务委员会审议后，报国务院批准。</w:t>
      </w:r>
    </w:p>
    <w:p>
      <w:pPr>
        <w:pStyle w:val="Style14"/>
        <w:pageBreakBefore w:val="false"/>
        <w:widowControl/>
        <w:shd w:fill="FFFFFF" w:val="clear"/>
        <w:kinsoku w:val="true"/>
        <w:overflowPunct w:val="true"/>
        <w:autoSpaceDE w:val="true"/>
        <w:bidi w:val="0"/>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z w:val="32"/>
          <w:szCs w:val="32"/>
          <w:shd w:fill="FFFFFF" w:val="clear"/>
        </w:rPr>
      </w:pPr>
      <w:r>
        <w:rPr>
          <w:rFonts w:ascii="仿宋_GB2312;仿宋" w:hAnsi="仿宋_GB2312;仿宋" w:cs="仿宋_GB2312;仿宋" w:hint="eastAsia" w:eastAsia="仿宋_GB2312;仿宋"/>
          <w:color w:val="000000"/>
          <w:sz w:val="32"/>
          <w:szCs w:val="32"/>
          <w:shd w:fill="FFFFFF" w:val="clear"/>
        </w:rPr>
        <w:t>需报国务院审批的城市国土空间总体规划，由市人民政府组织编制，经本级人民代表大会常务委员会审议后，由省人民政府报国务院批准。其他市（州）、县（市）国土空间总体规划由本级人民政府组织编制，经本级人民代表大会常务委员会审议后，逐级报省人民政府批准。</w:t>
      </w:r>
    </w:p>
    <w:p>
      <w:pPr>
        <w:pStyle w:val="Style14"/>
        <w:pageBreakBefore w:val="false"/>
        <w:widowControl/>
        <w:shd w:fill="FFFFFF" w:val="clear"/>
        <w:kinsoku w:val="true"/>
        <w:overflowPunct w:val="true"/>
        <w:autoSpaceDE w:val="true"/>
        <w:bidi w:val="0"/>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z w:val="32"/>
          <w:szCs w:val="32"/>
          <w:shd w:fill="FFFFFF" w:val="clear"/>
        </w:rPr>
      </w:pPr>
      <w:r>
        <w:rPr>
          <w:rFonts w:ascii="仿宋_GB2312;仿宋" w:hAnsi="仿宋_GB2312;仿宋" w:cs="仿宋_GB2312;仿宋" w:hint="eastAsia" w:eastAsia="仿宋_GB2312;仿宋"/>
          <w:color w:val="000000"/>
          <w:sz w:val="32"/>
          <w:szCs w:val="32"/>
          <w:shd w:fill="FFFFFF" w:val="clear"/>
        </w:rPr>
        <w:t>乡（镇）国土空间总体规划由乡（镇）人民政府组织编制，经乡（镇）人民代表大会审议后，逐级报市（州）人民政府批准。乡（镇）国土空间总体规划也可以以多个乡（镇）为单元，由县（市）人民政府组织编制，经本级人民代表大会常务委员会审议后，报市（州）人民政府批准。</w:t>
      </w:r>
    </w:p>
    <w:p>
      <w:pPr>
        <w:pStyle w:val="Style14"/>
        <w:pageBreakBefore w:val="false"/>
        <w:widowControl/>
        <w:shd w:fill="FFFFFF" w:val="clear"/>
        <w:kinsoku w:val="true"/>
        <w:overflowPunct w:val="true"/>
        <w:autoSpaceDE w:val="true"/>
        <w:bidi w:val="0"/>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z w:val="32"/>
          <w:szCs w:val="32"/>
          <w:shd w:fill="FFFFFF" w:val="clear"/>
        </w:rPr>
      </w:pPr>
      <w:r>
        <w:rPr>
          <w:rFonts w:ascii="黑体" w:hAnsi="黑体" w:cs="黑体" w:hint="eastAsia" w:eastAsia="黑体"/>
          <w:color w:val="000000"/>
          <w:sz w:val="32"/>
          <w:szCs w:val="32"/>
        </w:rPr>
        <w:t>第十一条</w:t>
      </w:r>
      <w:r>
        <w:rPr>
          <w:rFonts w:ascii="仿宋" w:hAnsi="仿宋" w:cs="仿宋" w:hint="eastAsia" w:eastAsia="仿宋"/>
          <w:color w:val="000000"/>
          <w:sz w:val="32"/>
          <w:szCs w:val="32"/>
        </w:rPr>
        <w:t xml:space="preserve">  </w:t>
      </w:r>
      <w:r>
        <w:rPr>
          <w:rFonts w:ascii="仿宋_GB2312;仿宋" w:hAnsi="仿宋_GB2312;仿宋" w:cs="仿宋_GB2312;仿宋" w:hint="eastAsia" w:eastAsia="仿宋_GB2312;仿宋"/>
          <w:color w:val="000000"/>
          <w:sz w:val="32"/>
          <w:szCs w:val="32"/>
          <w:shd w:fill="FFFFFF" w:val="clear"/>
        </w:rPr>
        <w:t>县级以上人民政府自然资源主管部门会同发展和改革等相关部门制定国土空间专项规划编制目录清单，报同级人民政府批准实施。</w:t>
      </w:r>
    </w:p>
    <w:p>
      <w:pPr>
        <w:pStyle w:val="Style14"/>
        <w:pageBreakBefore w:val="false"/>
        <w:widowControl/>
        <w:shd w:fill="FFFFFF" w:val="clear"/>
        <w:kinsoku w:val="true"/>
        <w:overflowPunct w:val="true"/>
        <w:autoSpaceDE w:val="true"/>
        <w:bidi w:val="0"/>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z w:val="32"/>
          <w:szCs w:val="32"/>
          <w:shd w:fill="FFFFFF" w:val="clear"/>
        </w:rPr>
      </w:pPr>
      <w:r>
        <w:rPr>
          <w:rFonts w:ascii="仿宋_GB2312;仿宋" w:hAnsi="仿宋_GB2312;仿宋" w:cs="仿宋_GB2312;仿宋" w:hint="eastAsia" w:eastAsia="仿宋_GB2312;仿宋"/>
          <w:color w:val="000000"/>
          <w:sz w:val="32"/>
          <w:szCs w:val="32"/>
          <w:shd w:fill="FFFFFF" w:val="clear"/>
        </w:rPr>
        <w:t>跨行政区域或者流域的国土空间规划，由所在区域共同上一级人民政府自然资源主管部门组织编制，报同级人民政府批准；其他涉及空间利用的某一领域专项规划，由行业主管部门组织编制，经同级自然资源主管部门组织符合性审查后，报同级人民政府批准。</w:t>
      </w:r>
    </w:p>
    <w:p>
      <w:pPr>
        <w:pStyle w:val="Normal"/>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color w:val="000000"/>
          <w:kern w:val="0"/>
          <w:sz w:val="32"/>
          <w:szCs w:val="32"/>
          <w:shd w:fill="FFFFFF" w:val="clear"/>
        </w:rPr>
      </w:pPr>
      <w:r>
        <w:rPr>
          <w:rFonts w:ascii="黑体" w:hAnsi="黑体" w:cs="黑体" w:hint="eastAsia" w:eastAsia="黑体"/>
          <w:color w:val="000000"/>
          <w:sz w:val="32"/>
          <w:szCs w:val="32"/>
        </w:rPr>
        <w:t>第十二条</w:t>
      </w:r>
      <w:r>
        <w:rPr>
          <w:rFonts w:ascii="仿宋" w:hAnsi="仿宋" w:cs="仿宋" w:hint="eastAsia" w:eastAsia="仿宋"/>
          <w:color w:val="000000"/>
          <w:sz w:val="32"/>
          <w:szCs w:val="32"/>
        </w:rPr>
        <w:t xml:space="preserve">  </w:t>
      </w:r>
      <w:r>
        <w:rPr>
          <w:rFonts w:ascii="仿宋_GB2312;仿宋" w:hAnsi="仿宋_GB2312;仿宋" w:cs="仿宋_GB2312;仿宋" w:hint="eastAsia" w:eastAsia="仿宋_GB2312;仿宋"/>
          <w:color w:val="000000"/>
          <w:kern w:val="0"/>
          <w:sz w:val="32"/>
          <w:szCs w:val="32"/>
          <w:shd w:fill="FFFFFF" w:val="clear"/>
        </w:rPr>
        <w:t>城镇开发边界内的国土空间详细规划，由设区的市、县（市）人民政府自然资源主管部门组织编制，报同级人民政府批准；城镇开发边界外的村庄规划，由乡（镇）人民政府组织编制，报上一级人民政府批准，其中市辖区的村庄规划，报设区的市人民政府批准。</w:t>
      </w:r>
    </w:p>
    <w:p>
      <w:pPr>
        <w:pStyle w:val="Style14"/>
        <w:pageBreakBefore w:val="false"/>
        <w:widowControl/>
        <w:shd w:fill="FFFFFF" w:val="clear"/>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color w:val="000000"/>
          <w:sz w:val="32"/>
          <w:szCs w:val="32"/>
          <w:shd w:fill="FFFFFF" w:val="clear"/>
        </w:rPr>
      </w:pPr>
      <w:r>
        <w:rPr>
          <w:rFonts w:ascii="黑体" w:hAnsi="黑体" w:cs="黑体" w:hint="eastAsia" w:eastAsia="黑体"/>
          <w:b w:val="false"/>
          <w:bCs w:val="false"/>
          <w:color w:val="000000"/>
          <w:sz w:val="32"/>
          <w:szCs w:val="32"/>
        </w:rPr>
        <w:t xml:space="preserve">第十三条  </w:t>
      </w:r>
      <w:r>
        <w:rPr>
          <w:rFonts w:ascii="仿宋_GB2312;仿宋" w:hAnsi="仿宋_GB2312;仿宋" w:cs="仿宋_GB2312;仿宋" w:hint="eastAsia" w:eastAsia="仿宋_GB2312;仿宋"/>
          <w:color w:val="000000"/>
          <w:sz w:val="32"/>
          <w:szCs w:val="32"/>
          <w:shd w:fill="FFFFFF" w:val="clear"/>
        </w:rPr>
        <w:t>国土空间规划经依法批准后，组织编制机关应当自收到批准文件之日起三十日内，向省人民政府自然资源主管部门汇交标准数字化成果，纳入国土空间基础信息平台。</w:t>
      </w:r>
    </w:p>
    <w:p>
      <w:pPr>
        <w:pStyle w:val="Normal"/>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color w:val="000000"/>
          <w:kern w:val="0"/>
          <w:sz w:val="32"/>
          <w:szCs w:val="32"/>
          <w:shd w:fill="FFFFFF" w:val="clear"/>
        </w:rPr>
      </w:pPr>
      <w:r>
        <w:rPr>
          <w:rFonts w:ascii="黑体" w:hAnsi="黑体" w:cs="黑体" w:hint="eastAsia" w:eastAsia="黑体"/>
          <w:color w:val="000000"/>
          <w:sz w:val="32"/>
          <w:szCs w:val="32"/>
        </w:rPr>
        <w:t xml:space="preserve">第十四条  </w:t>
      </w:r>
      <w:r>
        <w:rPr>
          <w:rFonts w:ascii="仿宋_GB2312;仿宋" w:hAnsi="仿宋_GB2312;仿宋" w:cs="仿宋_GB2312;仿宋" w:hint="eastAsia" w:eastAsia="仿宋_GB2312;仿宋"/>
          <w:color w:val="000000"/>
          <w:kern w:val="0"/>
          <w:sz w:val="32"/>
          <w:szCs w:val="32"/>
          <w:shd w:fill="FFFFFF" w:val="clear"/>
        </w:rPr>
        <w:t>经依法批准的国土空间规划应当严格执行，任何单位和个人不得擅自修改。规划编制机关应当及时公布经依法批准的国土空间规划，法律、行政法规规定不得公开的内容除外。</w:t>
      </w:r>
    </w:p>
    <w:p>
      <w:pPr>
        <w:pStyle w:val="Style14"/>
        <w:pageBreakBefore w:val="false"/>
        <w:widowControl/>
        <w:shd w:fill="FFFFFF" w:val="clear"/>
        <w:kinsoku w:val="true"/>
        <w:overflowPunct w:val="true"/>
        <w:autoSpaceDE w:val="true"/>
        <w:bidi w:val="0"/>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z w:val="32"/>
          <w:szCs w:val="32"/>
          <w:shd w:fill="FFFFFF" w:val="clear"/>
        </w:rPr>
      </w:pPr>
      <w:r>
        <w:rPr>
          <w:rFonts w:ascii="仿宋_GB2312;仿宋" w:hAnsi="仿宋_GB2312;仿宋" w:cs="仿宋_GB2312;仿宋" w:hint="eastAsia" w:eastAsia="仿宋_GB2312;仿宋"/>
          <w:color w:val="000000"/>
          <w:kern w:val="0"/>
          <w:sz w:val="32"/>
          <w:szCs w:val="32"/>
          <w:shd w:fill="FFFFFF" w:val="clear"/>
        </w:rPr>
        <w:t>因国家重大战略调整、重大项目建设或者行政区划调整等确需修改国土空间规划的，修改前须先经原批准机关同意，由原规划编制机关组织修改，修改后报原批准机关批准。</w:t>
      </w:r>
    </w:p>
    <w:p>
      <w:pPr>
        <w:pStyle w:val="Style14"/>
        <w:pageBreakBefore w:val="false"/>
        <w:widowControl/>
        <w:shd w:fill="FFFFFF" w:val="clear"/>
        <w:kinsoku w:val="true"/>
        <w:overflowPunct w:val="true"/>
        <w:autoSpaceDE w:val="true"/>
        <w:bidi w:val="0"/>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z w:val="32"/>
          <w:szCs w:val="32"/>
          <w:shd w:fill="FFFFFF" w:val="clear"/>
        </w:rPr>
      </w:pPr>
      <w:r>
        <w:rPr>
          <w:rFonts w:ascii="黑体" w:hAnsi="黑体" w:cs="黑体" w:hint="eastAsia" w:eastAsia="黑体"/>
          <w:color w:val="000000"/>
          <w:sz w:val="32"/>
          <w:szCs w:val="32"/>
        </w:rPr>
        <w:t xml:space="preserve">第十五条  </w:t>
      </w:r>
      <w:r>
        <w:rPr>
          <w:rFonts w:ascii="仿宋_GB2312;仿宋" w:hAnsi="仿宋_GB2312;仿宋" w:cs="仿宋_GB2312;仿宋" w:hint="eastAsia" w:eastAsia="仿宋_GB2312;仿宋"/>
          <w:color w:val="000000"/>
          <w:sz w:val="32"/>
          <w:szCs w:val="32"/>
          <w:shd w:fill="FFFFFF" w:val="clear"/>
        </w:rPr>
        <w:t>县级以上人民政府应当保障国土空间规划编制和管理经费的落实，加强国土空间规划人才队伍建设，提高国土空间规划编制、实施和管理效能。</w:t>
      </w:r>
    </w:p>
    <w:p>
      <w:pPr>
        <w:pStyle w:val="Style14"/>
        <w:pageBreakBefore w:val="false"/>
        <w:widowControl/>
        <w:shd w:fill="FFFFFF" w:val="clear"/>
        <w:kinsoku w:val="true"/>
        <w:overflowPunct w:val="true"/>
        <w:autoSpaceDE w:val="true"/>
        <w:bidi w:val="0"/>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z w:val="32"/>
          <w:szCs w:val="32"/>
          <w:shd w:fill="FFFFFF" w:val="clear"/>
        </w:rPr>
      </w:pPr>
      <w:r>
        <w:rPr>
          <w:rFonts w:ascii="黑体" w:hAnsi="黑体" w:cs="黑体" w:hint="eastAsia" w:eastAsia="黑体"/>
          <w:b w:val="false"/>
          <w:bCs/>
          <w:color w:val="000000"/>
          <w:sz w:val="32"/>
          <w:szCs w:val="32"/>
          <w:shd w:fill="FFFFFF" w:val="clear"/>
        </w:rPr>
        <w:t>第十六条</w:t>
      </w:r>
      <w:r>
        <w:rPr>
          <w:rFonts w:ascii="仿宋_GB2312;仿宋" w:hAnsi="仿宋_GB2312;仿宋" w:cs="仿宋_GB2312;仿宋" w:eastAsia="仿宋_GB2312;仿宋"/>
          <w:b/>
          <w:color w:val="000000"/>
          <w:sz w:val="32"/>
          <w:szCs w:val="32"/>
          <w:shd w:fill="FFFFFF" w:val="clear"/>
        </w:rPr>
        <w:t xml:space="preserve"> </w:t>
      </w:r>
      <w:r>
        <w:rPr>
          <w:rFonts w:ascii="仿宋_GB2312;仿宋" w:hAnsi="仿宋_GB2312;仿宋" w:cs="仿宋_GB2312;仿宋" w:hint="eastAsia" w:eastAsia="仿宋_GB2312;仿宋"/>
          <w:b/>
          <w:color w:val="000000"/>
          <w:sz w:val="32"/>
          <w:szCs w:val="32"/>
          <w:shd w:fill="FFFFFF" w:val="clear"/>
        </w:rPr>
        <w:t xml:space="preserve"> </w:t>
      </w:r>
      <w:r>
        <w:rPr>
          <w:rFonts w:ascii="仿宋_GB2312;仿宋" w:hAnsi="仿宋_GB2312;仿宋" w:cs="仿宋_GB2312;仿宋" w:hint="eastAsia" w:eastAsia="仿宋_GB2312;仿宋"/>
          <w:b w:val="false"/>
          <w:bCs w:val="false"/>
          <w:color w:val="000000"/>
          <w:sz w:val="32"/>
          <w:szCs w:val="32"/>
          <w:shd w:fill="FFFFFF" w:val="clear"/>
        </w:rPr>
        <w:t>县</w:t>
      </w:r>
      <w:r>
        <w:rPr>
          <w:rFonts w:ascii="仿宋_GB2312;仿宋" w:hAnsi="仿宋_GB2312;仿宋" w:cs="仿宋_GB2312;仿宋" w:hint="eastAsia" w:eastAsia="仿宋_GB2312;仿宋"/>
          <w:color w:val="000000"/>
          <w:sz w:val="32"/>
          <w:szCs w:val="32"/>
          <w:shd w:fill="FFFFFF" w:val="clear"/>
        </w:rPr>
        <w:t>级以上人民政府自然资源主管部门应当会同同级有关部门按照国家有关规定组织开展土地调查。</w:t>
      </w:r>
    </w:p>
    <w:p>
      <w:pPr>
        <w:pStyle w:val="Style14"/>
        <w:pageBreakBefore w:val="false"/>
        <w:widowControl/>
        <w:shd w:fill="FFFFFF" w:val="clear"/>
        <w:kinsoku w:val="true"/>
        <w:overflowPunct w:val="true"/>
        <w:autoSpaceDE w:val="true"/>
        <w:bidi w:val="0"/>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z w:val="32"/>
          <w:szCs w:val="32"/>
          <w:shd w:fill="FFFFFF" w:val="clear"/>
        </w:rPr>
      </w:pPr>
      <w:r>
        <w:rPr>
          <w:rFonts w:ascii="仿宋_GB2312;仿宋" w:hAnsi="仿宋_GB2312;仿宋" w:cs="仿宋_GB2312;仿宋" w:hint="eastAsia" w:eastAsia="仿宋_GB2312;仿宋"/>
          <w:color w:val="000000"/>
          <w:sz w:val="32"/>
          <w:szCs w:val="32"/>
          <w:shd w:fill="FFFFFF" w:val="clear"/>
        </w:rPr>
        <w:t>县级以上人民政府有关部门、乡（镇）人民政府、村（居）民委员会、农村集体经济组织以及相关单位、个人应当配合土地调查工作，如实提供相关资料。</w:t>
      </w:r>
    </w:p>
    <w:p>
      <w:pPr>
        <w:pStyle w:val="Style14"/>
        <w:pageBreakBefore w:val="false"/>
        <w:widowControl/>
        <w:shd w:fill="FFFFFF" w:val="clear"/>
        <w:kinsoku w:val="true"/>
        <w:overflowPunct w:val="true"/>
        <w:autoSpaceDE w:val="true"/>
        <w:bidi w:val="0"/>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z w:val="32"/>
          <w:szCs w:val="32"/>
          <w:shd w:fill="FFFFFF" w:val="clear"/>
        </w:rPr>
      </w:pPr>
      <w:r>
        <w:rPr>
          <w:rFonts w:ascii="仿宋_GB2312;仿宋" w:hAnsi="仿宋_GB2312;仿宋" w:cs="仿宋_GB2312;仿宋" w:hint="eastAsia" w:eastAsia="仿宋_GB2312;仿宋"/>
          <w:color w:val="000000"/>
          <w:sz w:val="32"/>
          <w:szCs w:val="32"/>
          <w:shd w:fill="FFFFFF" w:val="clear"/>
        </w:rPr>
        <w:t>土地调查成果应当作为编制国民经济和社会发展规划、国土空间规划以及实施自然资源管理、保护和利用的重要依据。</w:t>
      </w:r>
    </w:p>
    <w:p>
      <w:pPr>
        <w:pStyle w:val="Style14"/>
        <w:pageBreakBefore w:val="false"/>
        <w:widowControl/>
        <w:shd w:fill="FFFFFF" w:val="clear"/>
        <w:kinsoku w:val="true"/>
        <w:overflowPunct w:val="true"/>
        <w:autoSpaceDE w:val="true"/>
        <w:bidi w:val="0"/>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z w:val="32"/>
          <w:szCs w:val="32"/>
          <w:shd w:fill="FFFFFF" w:val="clear"/>
        </w:rPr>
      </w:pPr>
      <w:r>
        <w:rPr>
          <w:rFonts w:ascii="仿宋_GB2312;仿宋" w:hAnsi="仿宋_GB2312;仿宋" w:cs="仿宋_GB2312;仿宋" w:hint="eastAsia" w:eastAsia="仿宋_GB2312;仿宋"/>
          <w:color w:val="000000"/>
          <w:sz w:val="32"/>
          <w:szCs w:val="32"/>
          <w:shd w:fill="FFFFFF" w:val="clear"/>
        </w:rPr>
        <w:t>建立土地调查成果汇交制度。土地调查成果应当按照国家和本省有关规定向社会公布。</w:t>
      </w:r>
    </w:p>
    <w:p>
      <w:pPr>
        <w:pStyle w:val="Heading1"/>
        <w:pageBreakBefore w:val="false"/>
        <w:kinsoku w:val="true"/>
        <w:overflowPunct w:val="true"/>
        <w:autoSpaceDE w:val="true"/>
        <w:bidi w:val="0"/>
        <w:spacing w:lineRule="exact" w:line="560" w:before="0" w:after="0"/>
        <w:ind w:hanging="0" w:start="0"/>
        <w:jc w:val="center"/>
        <w:textAlignment w:val="auto"/>
        <w:rPr>
          <w:rFonts w:ascii="黑体" w:hAnsi="黑体" w:eastAsia="黑体" w:cs="黑体" w:hint="eastAsia"/>
          <w:b w:val="false"/>
          <w:bCs w:val="false"/>
          <w:color w:val="000000"/>
          <w:sz w:val="32"/>
          <w:szCs w:val="32"/>
          <w:shd w:fill="FFFFFF" w:val="clear"/>
        </w:rPr>
      </w:pPr>
      <w:r>
        <w:rPr>
          <w:rFonts w:eastAsia="仿宋_GB2312;仿宋" w:cs="仿宋_GB2312;仿宋" w:hint="eastAsia" w:ascii="仿宋_GB2312;仿宋" w:hAnsi="仿宋_GB2312;仿宋"/>
          <w:b/>
          <w:color w:val="000000"/>
          <w:sz w:val="32"/>
          <w:szCs w:val="32"/>
          <w:shd w:fill="FFFFFF" w:val="clear"/>
        </w:rPr>
        <w:t xml:space="preserve">    </w:t>
      </w:r>
    </w:p>
    <w:p>
      <w:pPr>
        <w:pStyle w:val="Heading1"/>
        <w:pageBreakBefore w:val="false"/>
        <w:numPr>
          <w:ilvl w:val="0"/>
          <w:numId w:val="0"/>
        </w:numPr>
        <w:kinsoku w:val="true"/>
        <w:overflowPunct w:val="true"/>
        <w:autoSpaceDE w:val="true"/>
        <w:bidi w:val="0"/>
        <w:spacing w:lineRule="exact" w:line="560" w:before="0" w:after="0"/>
        <w:ind w:hanging="0" w:start="0"/>
        <w:jc w:val="center"/>
        <w:textAlignment w:val="auto"/>
        <w:rPr>
          <w:rFonts w:ascii="黑体" w:hAnsi="黑体" w:eastAsia="黑体" w:cs="黑体" w:hint="eastAsia"/>
          <w:b w:val="false"/>
          <w:bCs w:val="false"/>
          <w:color w:val="000000"/>
          <w:sz w:val="32"/>
          <w:szCs w:val="32"/>
          <w:shd w:fill="FFFFFF" w:val="clear"/>
        </w:rPr>
      </w:pPr>
      <w:r>
        <w:rPr>
          <w:rFonts w:ascii="黑体" w:hAnsi="黑体" w:cs="黑体" w:hint="eastAsia" w:eastAsia="黑体"/>
          <w:b w:val="false"/>
          <w:bCs w:val="false"/>
          <w:color w:val="000000"/>
          <w:sz w:val="32"/>
          <w:szCs w:val="32"/>
          <w:shd w:fill="FFFFFF" w:val="clear"/>
        </w:rPr>
        <w:t>第三章  耕地保护</w:t>
      </w:r>
    </w:p>
    <w:p>
      <w:pPr>
        <w:pStyle w:val="Normal"/>
        <w:pageBreakBefore w:val="false"/>
        <w:kinsoku w:val="true"/>
        <w:overflowPunct w:val="true"/>
        <w:autoSpaceDE w:val="true"/>
        <w:bidi w:val="0"/>
        <w:spacing w:lineRule="exact" w:line="560"/>
        <w:textAlignment w:val="auto"/>
        <w:rPr>
          <w:rFonts w:ascii="黑体" w:hAnsi="黑体" w:eastAsia="黑体" w:cs="黑体" w:hint="eastAsia"/>
          <w:b w:val="false"/>
          <w:bCs w:val="false"/>
          <w:color w:val="000000"/>
          <w:sz w:val="32"/>
          <w:szCs w:val="32"/>
          <w:shd w:fill="FFFFFF" w:val="clear"/>
        </w:rPr>
      </w:pPr>
      <w:r>
        <w:rPr>
          <w:rFonts w:eastAsia="黑体" w:cs="黑体" w:hint="eastAsia" w:ascii="黑体" w:hAnsi="黑体"/>
          <w:b w:val="false"/>
          <w:bCs w:val="false"/>
          <w:color w:val="000000"/>
          <w:sz w:val="32"/>
          <w:szCs w:val="32"/>
          <w:shd w:fill="FFFFFF" w:val="clear"/>
        </w:rPr>
      </w:r>
    </w:p>
    <w:p>
      <w:pPr>
        <w:pStyle w:val="Normal"/>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color w:val="000000"/>
          <w:kern w:val="0"/>
          <w:sz w:val="32"/>
          <w:szCs w:val="32"/>
          <w:shd w:fill="FFFFFF" w:val="clear"/>
        </w:rPr>
      </w:pPr>
      <w:r>
        <w:rPr>
          <w:rFonts w:ascii="黑体" w:hAnsi="黑体" w:cs="黑体" w:hint="eastAsia" w:eastAsia="黑体"/>
          <w:color w:val="000000"/>
          <w:sz w:val="32"/>
          <w:szCs w:val="32"/>
        </w:rPr>
        <w:t>第十七条</w:t>
      </w:r>
      <w:r>
        <w:rPr>
          <w:rFonts w:ascii="仿宋" w:hAnsi="仿宋" w:cs="仿宋" w:hint="eastAsia" w:eastAsia="仿宋"/>
          <w:color w:val="000000"/>
          <w:sz w:val="32"/>
          <w:szCs w:val="32"/>
        </w:rPr>
        <w:t xml:space="preserve">  </w:t>
      </w:r>
      <w:r>
        <w:rPr>
          <w:rFonts w:ascii="仿宋_GB2312;仿宋" w:hAnsi="仿宋_GB2312;仿宋" w:cs="仿宋_GB2312;仿宋" w:hint="eastAsia" w:eastAsia="仿宋_GB2312;仿宋"/>
          <w:color w:val="000000"/>
          <w:kern w:val="0"/>
          <w:sz w:val="32"/>
          <w:szCs w:val="32"/>
          <w:shd w:fill="FFFFFF" w:val="clear"/>
        </w:rPr>
        <w:t>县级以上人民政府对本行政区域耕地保有量、永久基本农田保护面积以及高标准农田建设负责，其主要负责人是本行政区域耕地保护的第一责任人。</w:t>
      </w:r>
    </w:p>
    <w:p>
      <w:pPr>
        <w:pStyle w:val="Style14"/>
        <w:pageBreakBefore w:val="false"/>
        <w:widowControl/>
        <w:shd w:fill="FFFFFF" w:val="clear"/>
        <w:kinsoku w:val="true"/>
        <w:overflowPunct w:val="true"/>
        <w:autoSpaceDE w:val="true"/>
        <w:bidi w:val="0"/>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shd w:fill="FFFFFF" w:val="clear"/>
        </w:rPr>
      </w:pPr>
      <w:r>
        <w:rPr>
          <w:rFonts w:ascii="仿宋_GB2312;仿宋" w:hAnsi="仿宋_GB2312;仿宋" w:cs="仿宋_GB2312;仿宋" w:hint="eastAsia" w:eastAsia="仿宋_GB2312;仿宋"/>
          <w:color w:val="000000"/>
          <w:kern w:val="0"/>
          <w:sz w:val="32"/>
          <w:szCs w:val="32"/>
          <w:shd w:fill="FFFFFF" w:val="clear"/>
        </w:rPr>
        <w:t>省、市（州）人民政府应当按照国家规定制定考核办法，对下一级人民政府耕地保护责任目标落实情况进行考核。</w:t>
      </w:r>
    </w:p>
    <w:p>
      <w:pPr>
        <w:pStyle w:val="Style14"/>
        <w:pageBreakBefore w:val="false"/>
        <w:widowControl/>
        <w:shd w:fill="FFFFFF" w:val="clear"/>
        <w:kinsoku w:val="true"/>
        <w:overflowPunct w:val="true"/>
        <w:autoSpaceDE w:val="true"/>
        <w:bidi w:val="0"/>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shd w:fill="FFFFFF" w:val="clear"/>
        </w:rPr>
      </w:pPr>
      <w:r>
        <w:rPr>
          <w:rFonts w:ascii="仿宋_GB2312;仿宋" w:hAnsi="仿宋_GB2312;仿宋" w:cs="仿宋_GB2312;仿宋" w:hint="eastAsia" w:eastAsia="仿宋_GB2312;仿宋"/>
          <w:color w:val="000000"/>
          <w:kern w:val="0"/>
          <w:sz w:val="32"/>
          <w:szCs w:val="32"/>
          <w:shd w:fill="FFFFFF" w:val="clear"/>
        </w:rPr>
        <w:t>耕地保护责任目标考核结果作为县级以上人民政府主要负责人自然资源资产离任审计的重要依据。</w:t>
      </w:r>
    </w:p>
    <w:p>
      <w:pPr>
        <w:pStyle w:val="Style14"/>
        <w:pageBreakBefore w:val="false"/>
        <w:widowControl/>
        <w:shd w:fill="FFFFFF" w:val="clear"/>
        <w:kinsoku w:val="true"/>
        <w:overflowPunct w:val="true"/>
        <w:autoSpaceDE w:val="true"/>
        <w:bidi w:val="0"/>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z w:val="32"/>
          <w:szCs w:val="32"/>
          <w:shd w:fill="FFFFFF" w:val="clear"/>
        </w:rPr>
      </w:pPr>
      <w:r>
        <w:rPr>
          <w:rFonts w:ascii="黑体" w:hAnsi="黑体" w:cs="黑体" w:hint="eastAsia" w:eastAsia="黑体"/>
          <w:color w:val="000000"/>
          <w:sz w:val="32"/>
          <w:szCs w:val="32"/>
        </w:rPr>
        <w:t>第十八条</w:t>
      </w:r>
      <w:r>
        <w:rPr>
          <w:rFonts w:ascii="仿宋" w:hAnsi="仿宋" w:cs="仿宋" w:hint="eastAsia" w:eastAsia="仿宋"/>
          <w:color w:val="000000"/>
          <w:sz w:val="32"/>
          <w:szCs w:val="32"/>
        </w:rPr>
        <w:t xml:space="preserve">  </w:t>
      </w:r>
      <w:r>
        <w:rPr>
          <w:rFonts w:ascii="仿宋_GB2312;仿宋" w:hAnsi="仿宋_GB2312;仿宋" w:cs="仿宋_GB2312;仿宋" w:hint="eastAsia" w:eastAsia="仿宋_GB2312;仿宋"/>
          <w:color w:val="000000"/>
          <w:sz w:val="32"/>
          <w:szCs w:val="32"/>
          <w:shd w:fill="FFFFFF" w:val="clear"/>
        </w:rPr>
        <w:t>县级以上人民政府应当根据上级下达的永久基本农田保护任务，依法划定永久基本农田并落实保护责任。永久基本农田经依法划定后，任何单位和个人不得擅自占用或者改变其用途。</w:t>
      </w:r>
    </w:p>
    <w:p>
      <w:pPr>
        <w:pStyle w:val="Style14"/>
        <w:pageBreakBefore w:val="false"/>
        <w:widowControl/>
        <w:shd w:fill="FFFFFF" w:val="clear"/>
        <w:kinsoku w:val="true"/>
        <w:overflowPunct w:val="true"/>
        <w:autoSpaceDE w:val="true"/>
        <w:bidi w:val="0"/>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z w:val="32"/>
          <w:szCs w:val="32"/>
          <w:shd w:fill="FFFFFF" w:val="clear"/>
        </w:rPr>
      </w:pPr>
      <w:r>
        <w:rPr>
          <w:rFonts w:ascii="仿宋_GB2312;仿宋" w:hAnsi="仿宋_GB2312;仿宋" w:cs="仿宋_GB2312;仿宋" w:hint="eastAsia" w:eastAsia="仿宋_GB2312;仿宋"/>
          <w:color w:val="000000"/>
          <w:sz w:val="32"/>
          <w:szCs w:val="32"/>
          <w:shd w:fill="FFFFFF" w:val="clear"/>
        </w:rPr>
        <w:t>经依法批准占用永久基本农田的，应当按照永久基本农田总量不减少、质量不降低的原则，在可以长期稳定利用的耕地上补充划入。</w:t>
      </w:r>
    </w:p>
    <w:p>
      <w:pPr>
        <w:pStyle w:val="Normal"/>
        <w:pageBreakBefore w:val="false"/>
        <w:pBdr/>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color w:val="000000"/>
          <w:kern w:val="0"/>
          <w:sz w:val="32"/>
          <w:szCs w:val="32"/>
          <w:shd w:fill="FFFFFF" w:val="clear"/>
        </w:rPr>
      </w:pPr>
      <w:r>
        <w:rPr>
          <w:rFonts w:ascii="黑体" w:hAnsi="黑体" w:cs="黑体" w:hint="eastAsia" w:eastAsia="黑体"/>
          <w:color w:val="000000"/>
          <w:sz w:val="32"/>
          <w:szCs w:val="32"/>
        </w:rPr>
        <w:t>第十九条</w:t>
      </w:r>
      <w:r>
        <w:rPr>
          <w:rFonts w:ascii="仿宋" w:hAnsi="仿宋" w:cs="仿宋" w:hint="eastAsia" w:eastAsia="仿宋"/>
          <w:color w:val="000000"/>
          <w:sz w:val="32"/>
          <w:szCs w:val="32"/>
        </w:rPr>
        <w:t xml:space="preserve"> </w:t>
      </w:r>
      <w:r>
        <w:rPr>
          <w:rFonts w:ascii="仿宋" w:hAnsi="仿宋" w:cs="仿宋" w:hint="eastAsia" w:eastAsia="仿宋"/>
          <w:b/>
          <w:bCs/>
          <w:color w:val="000000"/>
          <w:sz w:val="32"/>
          <w:szCs w:val="32"/>
        </w:rPr>
        <w:t xml:space="preserve"> </w:t>
      </w:r>
      <w:r>
        <w:rPr>
          <w:rFonts w:ascii="仿宋_GB2312;仿宋" w:hAnsi="仿宋_GB2312;仿宋" w:cs="仿宋_GB2312;仿宋" w:hint="eastAsia" w:eastAsia="仿宋_GB2312;仿宋"/>
          <w:color w:val="000000"/>
          <w:kern w:val="0"/>
          <w:sz w:val="32"/>
          <w:szCs w:val="32"/>
          <w:shd w:fill="FFFFFF" w:val="clear"/>
        </w:rPr>
        <w:t>各级人民政府应当采取措施对耕地实行特殊保护，永久基本农田不得转为林地、草地、园地、农业设施建设用地等其他农用地，严格管控永久基本农田以外的耕地转为其他农用地。</w:t>
      </w:r>
    </w:p>
    <w:p>
      <w:pPr>
        <w:pStyle w:val="Normal"/>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color w:val="000000"/>
          <w:kern w:val="0"/>
          <w:sz w:val="32"/>
          <w:szCs w:val="32"/>
          <w:shd w:fill="FFFFFF" w:val="clear"/>
        </w:rPr>
      </w:pPr>
      <w:r>
        <w:rPr>
          <w:rFonts w:ascii="仿宋_GB2312;仿宋" w:hAnsi="仿宋_GB2312;仿宋" w:cs="仿宋_GB2312;仿宋" w:hint="eastAsia" w:eastAsia="仿宋_GB2312;仿宋"/>
          <w:color w:val="000000"/>
          <w:kern w:val="0"/>
          <w:sz w:val="32"/>
          <w:szCs w:val="32"/>
          <w:shd w:fill="FFFFFF" w:val="clear"/>
        </w:rPr>
        <w:t>实行耕地保护补偿激励制度，具体按照国家和省有关规定执行。</w:t>
      </w:r>
    </w:p>
    <w:p>
      <w:pPr>
        <w:pStyle w:val="Style14"/>
        <w:pageBreakBefore w:val="false"/>
        <w:widowControl/>
        <w:shd w:fill="FFFFFF" w:val="clear"/>
        <w:kinsoku w:val="true"/>
        <w:overflowPunct w:val="true"/>
        <w:autoSpaceDE w:val="true"/>
        <w:bidi w:val="0"/>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z w:val="32"/>
          <w:szCs w:val="32"/>
          <w:shd w:fill="FFFFFF" w:val="clear"/>
        </w:rPr>
      </w:pPr>
      <w:r>
        <w:rPr>
          <w:rFonts w:ascii="黑体" w:hAnsi="黑体" w:cs="仿宋" w:hint="eastAsia" w:eastAsia="黑体"/>
          <w:color w:val="000000"/>
          <w:sz w:val="32"/>
          <w:szCs w:val="32"/>
        </w:rPr>
        <w:t xml:space="preserve">第二十条  </w:t>
      </w:r>
      <w:r>
        <w:rPr>
          <w:rFonts w:ascii="仿宋_GB2312;仿宋" w:hAnsi="仿宋_GB2312;仿宋" w:cs="仿宋_GB2312;仿宋" w:hint="eastAsia" w:eastAsia="仿宋_GB2312;仿宋"/>
          <w:color w:val="000000"/>
          <w:sz w:val="32"/>
          <w:szCs w:val="32"/>
          <w:shd w:fill="FFFFFF" w:val="clear"/>
        </w:rPr>
        <w:t>实行占用耕地补偿制度。非农业建设经依法批准占用耕地的，必须按照下列规定补充开垦与所占用耕地的数量和质量相当的耕地：</w:t>
      </w:r>
    </w:p>
    <w:p>
      <w:pPr>
        <w:pStyle w:val="Style14"/>
        <w:pageBreakBefore w:val="false"/>
        <w:widowControl/>
        <w:shd w:fill="FFFFFF" w:val="clear"/>
        <w:kinsoku w:val="true"/>
        <w:overflowPunct w:val="true"/>
        <w:autoSpaceDE w:val="true"/>
        <w:bidi w:val="0"/>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z w:val="32"/>
          <w:szCs w:val="32"/>
          <w:shd w:fill="FFFFFF" w:val="clear"/>
        </w:rPr>
      </w:pPr>
      <w:r>
        <w:rPr>
          <w:rFonts w:ascii="仿宋_GB2312;仿宋" w:hAnsi="仿宋_GB2312;仿宋" w:cs="仿宋_GB2312;仿宋" w:hint="eastAsia" w:eastAsia="仿宋_GB2312;仿宋"/>
          <w:color w:val="000000"/>
          <w:sz w:val="32"/>
          <w:szCs w:val="32"/>
          <w:shd w:fill="FFFFFF" w:val="clear"/>
        </w:rPr>
        <w:t>（一）在国土空间规划确定的城市建设用地范围内经依法批准占用耕地的，由市（州）、县（市）人民政府负责；</w:t>
      </w:r>
    </w:p>
    <w:p>
      <w:pPr>
        <w:pStyle w:val="Style14"/>
        <w:pageBreakBefore w:val="false"/>
        <w:widowControl/>
        <w:shd w:fill="FFFFFF" w:val="clear"/>
        <w:kinsoku w:val="true"/>
        <w:overflowPunct w:val="true"/>
        <w:autoSpaceDE w:val="true"/>
        <w:bidi w:val="0"/>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z w:val="32"/>
          <w:szCs w:val="32"/>
          <w:shd w:fill="FFFFFF" w:val="clear"/>
        </w:rPr>
      </w:pPr>
      <w:r>
        <w:rPr>
          <w:rFonts w:ascii="仿宋_GB2312;仿宋" w:hAnsi="仿宋_GB2312;仿宋" w:cs="仿宋_GB2312;仿宋" w:hint="eastAsia" w:eastAsia="仿宋_GB2312;仿宋"/>
          <w:color w:val="000000"/>
          <w:sz w:val="32"/>
          <w:szCs w:val="32"/>
          <w:shd w:fill="FFFFFF" w:val="clear"/>
        </w:rPr>
        <w:t>（二）在国土空间规划确定的村庄和集镇建设用地范围内经依法批准占用耕地的，由县（市）人民政府、农村集体经济组织负责；</w:t>
      </w:r>
    </w:p>
    <w:p>
      <w:pPr>
        <w:pStyle w:val="Style14"/>
        <w:pageBreakBefore w:val="false"/>
        <w:widowControl/>
        <w:shd w:fill="FFFFFF" w:val="clear"/>
        <w:kinsoku w:val="true"/>
        <w:overflowPunct w:val="true"/>
        <w:autoSpaceDE w:val="true"/>
        <w:bidi w:val="0"/>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z w:val="32"/>
          <w:szCs w:val="32"/>
          <w:shd w:fill="FFFFFF" w:val="clear"/>
        </w:rPr>
      </w:pPr>
      <w:r>
        <w:rPr>
          <w:rFonts w:ascii="仿宋_GB2312;仿宋" w:hAnsi="仿宋_GB2312;仿宋" w:cs="仿宋_GB2312;仿宋" w:hint="eastAsia" w:eastAsia="仿宋_GB2312;仿宋"/>
          <w:color w:val="000000"/>
          <w:sz w:val="32"/>
          <w:szCs w:val="32"/>
          <w:shd w:fill="FFFFFF" w:val="clear"/>
        </w:rPr>
        <w:t>（三）在国土空间规划确定的城市和村庄、集镇建设用地范围外，因能源、交通、水利、矿山、军事设施等建设项目占用耕地的，由建设单位负责。</w:t>
      </w:r>
    </w:p>
    <w:p>
      <w:pPr>
        <w:pStyle w:val="Style14"/>
        <w:pageBreakBefore w:val="false"/>
        <w:widowControl/>
        <w:shd w:fill="FFFFFF" w:val="clear"/>
        <w:kinsoku w:val="true"/>
        <w:overflowPunct w:val="true"/>
        <w:autoSpaceDE w:val="true"/>
        <w:bidi w:val="0"/>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z w:val="32"/>
          <w:szCs w:val="32"/>
          <w:shd w:fill="FFFFFF" w:val="clear"/>
        </w:rPr>
      </w:pPr>
      <w:r>
        <w:rPr>
          <w:rFonts w:ascii="仿宋_GB2312;仿宋" w:hAnsi="仿宋_GB2312;仿宋" w:cs="仿宋_GB2312;仿宋" w:hint="eastAsia" w:eastAsia="仿宋_GB2312;仿宋"/>
          <w:color w:val="000000"/>
          <w:sz w:val="32"/>
          <w:szCs w:val="32"/>
          <w:shd w:fill="FFFFFF" w:val="clear"/>
        </w:rPr>
        <w:t>没有条件开垦耕地或者开垦的耕地不符合要求的，应当按照规定缴纳耕地开垦费。其中，对经依法批准占用永久基本农田的，耕地开垦费按照对应耕地类别最高标准的两倍执行。</w:t>
      </w:r>
    </w:p>
    <w:p>
      <w:pPr>
        <w:pStyle w:val="Normal"/>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color w:val="000000"/>
          <w:kern w:val="0"/>
          <w:sz w:val="32"/>
          <w:szCs w:val="32"/>
          <w:shd w:fill="FFFFFF" w:val="clear"/>
        </w:rPr>
      </w:pPr>
      <w:r>
        <w:rPr>
          <w:rFonts w:ascii="黑体" w:hAnsi="黑体" w:cs="黑体" w:hint="eastAsia" w:eastAsia="黑体"/>
          <w:color w:val="000000"/>
          <w:sz w:val="32"/>
          <w:szCs w:val="32"/>
        </w:rPr>
        <w:t>第二十一条</w:t>
      </w:r>
      <w:r>
        <w:rPr>
          <w:rFonts w:ascii="仿宋" w:hAnsi="仿宋" w:cs="仿宋" w:hint="eastAsia" w:eastAsia="仿宋"/>
          <w:color w:val="000000"/>
          <w:sz w:val="32"/>
          <w:szCs w:val="32"/>
        </w:rPr>
        <w:t xml:space="preserve"> </w:t>
      </w:r>
      <w:r>
        <w:rPr>
          <w:rFonts w:ascii="仿宋" w:hAnsi="仿宋" w:cs="仿宋" w:hint="eastAsia" w:eastAsia="仿宋"/>
          <w:b/>
          <w:bCs/>
          <w:color w:val="000000"/>
          <w:sz w:val="32"/>
          <w:szCs w:val="32"/>
        </w:rPr>
        <w:t xml:space="preserve"> </w:t>
      </w:r>
      <w:r>
        <w:rPr>
          <w:rFonts w:ascii="仿宋_GB2312;仿宋" w:hAnsi="仿宋_GB2312;仿宋" w:cs="仿宋_GB2312;仿宋" w:hint="eastAsia" w:eastAsia="仿宋_GB2312;仿宋"/>
          <w:color w:val="000000"/>
          <w:kern w:val="0"/>
          <w:sz w:val="32"/>
          <w:szCs w:val="32"/>
          <w:shd w:fill="FFFFFF" w:val="clear"/>
        </w:rPr>
        <w:t>耕地开垦费由县级以上人民政府自然资源主管部门负责收取，缴入本级财政国库，专项用于开垦新的耕地，禁止挪作他用。</w:t>
      </w:r>
    </w:p>
    <w:p>
      <w:pPr>
        <w:pStyle w:val="Style14"/>
        <w:pageBreakBefore w:val="false"/>
        <w:widowControl/>
        <w:shd w:fill="FFFFFF" w:val="clear"/>
        <w:kinsoku w:val="true"/>
        <w:overflowPunct w:val="true"/>
        <w:autoSpaceDE w:val="true"/>
        <w:bidi w:val="0"/>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bdr w:val="single" w:sz="4" w:space="0" w:color="000000"/>
          <w:shd w:fill="FFFFFF" w:val="clear"/>
        </w:rPr>
      </w:pPr>
      <w:r>
        <w:rPr>
          <w:rFonts w:ascii="仿宋_GB2312;仿宋" w:hAnsi="仿宋_GB2312;仿宋" w:cs="仿宋_GB2312;仿宋" w:hint="eastAsia" w:eastAsia="仿宋_GB2312;仿宋"/>
          <w:color w:val="000000"/>
          <w:kern w:val="0"/>
          <w:sz w:val="32"/>
          <w:szCs w:val="32"/>
          <w:shd w:fill="FFFFFF" w:val="clear"/>
        </w:rPr>
        <w:t>耕地开垦费的缴纳标准由省人民政府组织发展和改革、财政、自然资源等有关部门制定，并根据经济社会发展情况适时调整。</w:t>
      </w:r>
    </w:p>
    <w:p>
      <w:pPr>
        <w:pStyle w:val="Normal"/>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color w:val="000000"/>
          <w:kern w:val="0"/>
          <w:sz w:val="32"/>
          <w:szCs w:val="32"/>
          <w:shd w:fill="FFFFFF" w:val="clear"/>
        </w:rPr>
      </w:pPr>
      <w:r>
        <w:rPr>
          <w:rFonts w:ascii="黑体" w:hAnsi="黑体" w:cs="黑体" w:hint="eastAsia" w:eastAsia="黑体"/>
          <w:color w:val="000000"/>
          <w:sz w:val="32"/>
          <w:szCs w:val="32"/>
        </w:rPr>
        <w:t>第二十二条</w:t>
      </w:r>
      <w:r>
        <w:rPr>
          <w:rFonts w:ascii="仿宋" w:hAnsi="仿宋" w:cs="仿宋" w:hint="eastAsia" w:eastAsia="仿宋"/>
          <w:color w:val="000000"/>
          <w:sz w:val="32"/>
          <w:szCs w:val="32"/>
        </w:rPr>
        <w:t xml:space="preserve">  </w:t>
      </w:r>
      <w:r>
        <w:rPr>
          <w:rFonts w:ascii="仿宋_GB2312;仿宋" w:hAnsi="仿宋_GB2312;仿宋" w:cs="仿宋_GB2312;仿宋" w:hint="eastAsia" w:eastAsia="仿宋_GB2312;仿宋"/>
          <w:color w:val="000000"/>
          <w:kern w:val="0"/>
          <w:sz w:val="32"/>
          <w:szCs w:val="32"/>
          <w:shd w:fill="FFFFFF" w:val="clear"/>
        </w:rPr>
        <w:t>在国土空间规划确定的土地开垦区内开发土地，应当保护和改善生态环境，积极进行土壤改良，防止荒漠化、盐渍化、水土流失和土壤污染。</w:t>
      </w:r>
    </w:p>
    <w:p>
      <w:pPr>
        <w:pStyle w:val="Normal"/>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color w:val="000000"/>
          <w:kern w:val="0"/>
          <w:sz w:val="32"/>
          <w:szCs w:val="32"/>
          <w:shd w:fill="FFFFFF" w:val="clear"/>
        </w:rPr>
      </w:pPr>
      <w:r>
        <w:rPr>
          <w:rFonts w:ascii="仿宋_GB2312;仿宋" w:hAnsi="仿宋_GB2312;仿宋" w:cs="仿宋_GB2312;仿宋" w:hint="eastAsia" w:eastAsia="仿宋_GB2312;仿宋"/>
          <w:color w:val="000000"/>
          <w:kern w:val="0"/>
          <w:sz w:val="32"/>
          <w:szCs w:val="32"/>
          <w:shd w:fill="FFFFFF" w:val="clear"/>
        </w:rPr>
        <w:t>开发未确定使用权的国有荒山、荒地、荒滩，从事种植业、林业、畜牧业、渔业生产的，由开发单位和个人向所在地县级以上人民政府自然资源主管部门提出申请，并按照下列规定批准：</w:t>
      </w:r>
    </w:p>
    <w:p>
      <w:pPr>
        <w:pStyle w:val="Normal"/>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color w:val="000000"/>
          <w:kern w:val="0"/>
          <w:sz w:val="32"/>
          <w:szCs w:val="32"/>
          <w:shd w:fill="FFFFFF" w:val="clear"/>
        </w:rPr>
      </w:pPr>
      <w:r>
        <w:rPr>
          <w:rFonts w:eastAsia="仿宋_GB2312;仿宋" w:cs="仿宋_GB2312;仿宋" w:hint="eastAsia" w:ascii="仿宋_GB2312;仿宋" w:hAnsi="仿宋_GB2312;仿宋"/>
          <w:color w:val="000000"/>
          <w:kern w:val="0"/>
          <w:sz w:val="32"/>
          <w:szCs w:val="32"/>
          <w:shd w:fill="FFFFFF" w:val="clear"/>
        </w:rPr>
        <w:t>(</w:t>
      </w:r>
      <w:r>
        <w:rPr>
          <w:rFonts w:ascii="仿宋_GB2312;仿宋" w:hAnsi="仿宋_GB2312;仿宋" w:cs="仿宋_GB2312;仿宋" w:hint="eastAsia" w:eastAsia="仿宋_GB2312;仿宋"/>
          <w:color w:val="000000"/>
          <w:kern w:val="0"/>
          <w:sz w:val="32"/>
          <w:szCs w:val="32"/>
          <w:shd w:fill="FFFFFF" w:val="clear"/>
        </w:rPr>
        <w:t>一</w:t>
      </w:r>
      <w:r>
        <w:rPr>
          <w:rFonts w:eastAsia="仿宋_GB2312;仿宋" w:cs="仿宋_GB2312;仿宋" w:hint="eastAsia" w:ascii="仿宋_GB2312;仿宋" w:hAnsi="仿宋_GB2312;仿宋"/>
          <w:color w:val="000000"/>
          <w:kern w:val="0"/>
          <w:sz w:val="32"/>
          <w:szCs w:val="32"/>
          <w:shd w:fill="FFFFFF" w:val="clear"/>
        </w:rPr>
        <w:t>)</w:t>
      </w:r>
      <w:r>
        <w:rPr>
          <w:rFonts w:ascii="仿宋_GB2312;仿宋" w:hAnsi="仿宋_GB2312;仿宋" w:cs="仿宋_GB2312;仿宋" w:hint="eastAsia" w:eastAsia="仿宋_GB2312;仿宋"/>
          <w:color w:val="000000"/>
          <w:kern w:val="0"/>
          <w:sz w:val="32"/>
          <w:szCs w:val="32"/>
          <w:shd w:fill="FFFFFF" w:val="clear"/>
        </w:rPr>
        <w:t>一次性开发土地三十五公顷以下的，由县（市）人民政府批准</w:t>
      </w:r>
      <w:r>
        <w:rPr>
          <w:rFonts w:eastAsia="仿宋_GB2312;仿宋" w:cs="仿宋_GB2312;仿宋" w:hint="eastAsia" w:ascii="仿宋_GB2312;仿宋" w:hAnsi="仿宋_GB2312;仿宋"/>
          <w:color w:val="000000"/>
          <w:kern w:val="0"/>
          <w:sz w:val="32"/>
          <w:szCs w:val="32"/>
          <w:shd w:fill="FFFFFF" w:val="clear"/>
        </w:rPr>
        <w:t>;</w:t>
      </w:r>
    </w:p>
    <w:p>
      <w:pPr>
        <w:pStyle w:val="Normal"/>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color w:val="000000"/>
          <w:kern w:val="0"/>
          <w:sz w:val="32"/>
          <w:szCs w:val="32"/>
          <w:shd w:fill="FFFFFF" w:val="clear"/>
        </w:rPr>
      </w:pPr>
      <w:r>
        <w:rPr>
          <w:rFonts w:eastAsia="仿宋_GB2312;仿宋" w:cs="仿宋_GB2312;仿宋" w:hint="eastAsia" w:ascii="仿宋_GB2312;仿宋" w:hAnsi="仿宋_GB2312;仿宋"/>
          <w:color w:val="000000"/>
          <w:kern w:val="0"/>
          <w:sz w:val="32"/>
          <w:szCs w:val="32"/>
          <w:shd w:fill="FFFFFF" w:val="clear"/>
        </w:rPr>
        <w:t>(</w:t>
      </w:r>
      <w:r>
        <w:rPr>
          <w:rFonts w:ascii="仿宋_GB2312;仿宋" w:hAnsi="仿宋_GB2312;仿宋" w:cs="仿宋_GB2312;仿宋" w:hint="eastAsia" w:eastAsia="仿宋_GB2312;仿宋"/>
          <w:color w:val="000000"/>
          <w:kern w:val="0"/>
          <w:sz w:val="32"/>
          <w:szCs w:val="32"/>
          <w:shd w:fill="FFFFFF" w:val="clear"/>
        </w:rPr>
        <w:t>二</w:t>
      </w:r>
      <w:r>
        <w:rPr>
          <w:rFonts w:eastAsia="仿宋_GB2312;仿宋" w:cs="仿宋_GB2312;仿宋" w:hint="eastAsia" w:ascii="仿宋_GB2312;仿宋" w:hAnsi="仿宋_GB2312;仿宋"/>
          <w:color w:val="000000"/>
          <w:kern w:val="0"/>
          <w:sz w:val="32"/>
          <w:szCs w:val="32"/>
          <w:shd w:fill="FFFFFF" w:val="clear"/>
        </w:rPr>
        <w:t>)</w:t>
      </w:r>
      <w:r>
        <w:rPr>
          <w:rFonts w:ascii="仿宋_GB2312;仿宋" w:hAnsi="仿宋_GB2312;仿宋" w:cs="仿宋_GB2312;仿宋" w:hint="eastAsia" w:eastAsia="仿宋_GB2312;仿宋"/>
          <w:color w:val="000000"/>
          <w:kern w:val="0"/>
          <w:sz w:val="32"/>
          <w:szCs w:val="32"/>
          <w:shd w:fill="FFFFFF" w:val="clear"/>
        </w:rPr>
        <w:t>一次性开发土地超过三十五公顷不满七十公顷的，由市（州）人民政府批准</w:t>
      </w:r>
      <w:r>
        <w:rPr>
          <w:rFonts w:eastAsia="仿宋_GB2312;仿宋" w:cs="仿宋_GB2312;仿宋" w:hint="eastAsia" w:ascii="仿宋_GB2312;仿宋" w:hAnsi="仿宋_GB2312;仿宋"/>
          <w:color w:val="000000"/>
          <w:kern w:val="0"/>
          <w:sz w:val="32"/>
          <w:szCs w:val="32"/>
          <w:shd w:fill="FFFFFF" w:val="clear"/>
        </w:rPr>
        <w:t>;</w:t>
      </w:r>
    </w:p>
    <w:p>
      <w:pPr>
        <w:pStyle w:val="Normal"/>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color w:val="000000"/>
          <w:kern w:val="0"/>
          <w:sz w:val="32"/>
          <w:szCs w:val="32"/>
          <w:shd w:fill="FFFFFF" w:val="clear"/>
        </w:rPr>
      </w:pPr>
      <w:r>
        <w:rPr>
          <w:rFonts w:eastAsia="仿宋_GB2312;仿宋" w:cs="仿宋_GB2312;仿宋" w:hint="eastAsia" w:ascii="仿宋_GB2312;仿宋" w:hAnsi="仿宋_GB2312;仿宋"/>
          <w:color w:val="000000"/>
          <w:kern w:val="0"/>
          <w:sz w:val="32"/>
          <w:szCs w:val="32"/>
          <w:shd w:fill="FFFFFF" w:val="clear"/>
        </w:rPr>
        <w:t>(</w:t>
      </w:r>
      <w:r>
        <w:rPr>
          <w:rFonts w:ascii="仿宋_GB2312;仿宋" w:hAnsi="仿宋_GB2312;仿宋" w:cs="仿宋_GB2312;仿宋" w:hint="eastAsia" w:eastAsia="仿宋_GB2312;仿宋"/>
          <w:color w:val="000000"/>
          <w:kern w:val="0"/>
          <w:sz w:val="32"/>
          <w:szCs w:val="32"/>
          <w:shd w:fill="FFFFFF" w:val="clear"/>
        </w:rPr>
        <w:t>三</w:t>
      </w:r>
      <w:r>
        <w:rPr>
          <w:rFonts w:eastAsia="仿宋_GB2312;仿宋" w:cs="仿宋_GB2312;仿宋" w:hint="eastAsia" w:ascii="仿宋_GB2312;仿宋" w:hAnsi="仿宋_GB2312;仿宋"/>
          <w:color w:val="000000"/>
          <w:kern w:val="0"/>
          <w:sz w:val="32"/>
          <w:szCs w:val="32"/>
          <w:shd w:fill="FFFFFF" w:val="clear"/>
        </w:rPr>
        <w:t>)</w:t>
      </w:r>
      <w:r>
        <w:rPr>
          <w:rFonts w:ascii="仿宋_GB2312;仿宋" w:hAnsi="仿宋_GB2312;仿宋" w:cs="仿宋_GB2312;仿宋" w:hint="eastAsia" w:eastAsia="仿宋_GB2312;仿宋"/>
          <w:color w:val="000000"/>
          <w:kern w:val="0"/>
          <w:sz w:val="32"/>
          <w:szCs w:val="32"/>
          <w:shd w:fill="FFFFFF" w:val="clear"/>
        </w:rPr>
        <w:t>一次性开发土地七十公顷以上的，由省人民政府批准。</w:t>
      </w:r>
    </w:p>
    <w:p>
      <w:pPr>
        <w:pStyle w:val="Style14"/>
        <w:pageBreakBefore w:val="false"/>
        <w:widowControl/>
        <w:shd w:fill="FFFFFF" w:val="clear"/>
        <w:kinsoku w:val="true"/>
        <w:overflowPunct w:val="true"/>
        <w:autoSpaceDE w:val="true"/>
        <w:bidi w:val="0"/>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shd w:fill="FFFFFF" w:val="clear"/>
        </w:rPr>
      </w:pPr>
      <w:r>
        <w:rPr>
          <w:rFonts w:ascii="仿宋_GB2312;仿宋" w:hAnsi="仿宋_GB2312;仿宋" w:cs="仿宋_GB2312;仿宋" w:hint="eastAsia" w:eastAsia="仿宋_GB2312;仿宋"/>
          <w:color w:val="000000"/>
          <w:kern w:val="0"/>
          <w:sz w:val="32"/>
          <w:szCs w:val="32"/>
          <w:shd w:fill="FFFFFF" w:val="clear"/>
        </w:rPr>
        <w:t>开发荒山、荒地、荒滩应当按照国家和省有关规定，进行科学论证和评估，不得破坏生态环境。</w:t>
      </w:r>
    </w:p>
    <w:p>
      <w:pPr>
        <w:pStyle w:val="Style14"/>
        <w:pageBreakBefore w:val="false"/>
        <w:widowControl/>
        <w:shd w:fill="FFFFFF" w:val="clear"/>
        <w:kinsoku w:val="true"/>
        <w:overflowPunct w:val="true"/>
        <w:autoSpaceDE w:val="true"/>
        <w:bidi w:val="0"/>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z w:val="32"/>
          <w:szCs w:val="32"/>
          <w:shd w:fill="FFFFFF" w:val="clear"/>
        </w:rPr>
      </w:pPr>
      <w:r>
        <w:rPr>
          <w:rFonts w:ascii="黑体" w:hAnsi="黑体" w:cs="黑体" w:hint="eastAsia" w:eastAsia="黑体"/>
          <w:color w:val="000000"/>
          <w:sz w:val="32"/>
          <w:szCs w:val="32"/>
        </w:rPr>
        <w:t>第二十三条</w:t>
      </w:r>
      <w:r>
        <w:rPr>
          <w:rFonts w:ascii="仿宋" w:hAnsi="仿宋" w:cs="仿宋" w:hint="eastAsia" w:eastAsia="仿宋"/>
          <w:color w:val="000000"/>
          <w:sz w:val="32"/>
          <w:szCs w:val="32"/>
        </w:rPr>
        <w:t xml:space="preserve">  </w:t>
      </w:r>
      <w:r>
        <w:rPr>
          <w:rFonts w:ascii="仿宋_GB2312;仿宋" w:hAnsi="仿宋_GB2312;仿宋" w:cs="仿宋_GB2312;仿宋" w:hint="eastAsia" w:eastAsia="仿宋_GB2312;仿宋"/>
          <w:color w:val="000000"/>
          <w:sz w:val="32"/>
          <w:szCs w:val="32"/>
          <w:shd w:fill="FFFFFF" w:val="clear"/>
        </w:rPr>
        <w:t>因挖损、塌陷、压占等造成土地破坏，用地单位和个人依法承担复垦义务，复垦应当编制土地复垦方案，由县级以上人民政府自然资源主管部门批准后实施。没有条件复垦或者复垦不符合要求的，用地单位和个人应当缴纳土地复垦费，专项用于土地复垦，由县级人民政府自然资源主管部门组织复垦。复垦的土地应当优先用于农业。</w:t>
      </w:r>
    </w:p>
    <w:p>
      <w:pPr>
        <w:pStyle w:val="Style14"/>
        <w:pageBreakBefore w:val="false"/>
        <w:widowControl/>
        <w:shd w:fill="FFFFFF" w:val="clear"/>
        <w:kinsoku w:val="true"/>
        <w:overflowPunct w:val="true"/>
        <w:autoSpaceDE w:val="true"/>
        <w:bidi w:val="0"/>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z w:val="32"/>
          <w:szCs w:val="32"/>
          <w:shd w:fill="FFFFFF" w:val="clear"/>
        </w:rPr>
      </w:pPr>
      <w:r>
        <w:rPr>
          <w:rFonts w:ascii="仿宋_GB2312;仿宋" w:hAnsi="仿宋_GB2312;仿宋" w:cs="仿宋_GB2312;仿宋" w:hint="eastAsia" w:eastAsia="仿宋_GB2312;仿宋"/>
          <w:color w:val="000000"/>
          <w:sz w:val="32"/>
          <w:szCs w:val="32"/>
          <w:shd w:fill="FFFFFF" w:val="clear"/>
        </w:rPr>
        <w:t>土地复垦费的缴纳标准由省人民政府组织发展和改革、财政、自然资源等有关部门制定，并根据经济社会发展情况适时调整。</w:t>
      </w:r>
    </w:p>
    <w:p>
      <w:pPr>
        <w:pStyle w:val="Normal"/>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color w:val="000000"/>
          <w:kern w:val="0"/>
          <w:sz w:val="32"/>
          <w:szCs w:val="32"/>
          <w:shd w:fill="FFFFFF" w:val="clear"/>
        </w:rPr>
      </w:pPr>
      <w:r>
        <w:rPr>
          <w:rFonts w:ascii="黑体" w:hAnsi="黑体" w:cs="黑体" w:hint="eastAsia" w:eastAsia="黑体"/>
          <w:b w:val="false"/>
          <w:bCs w:val="false"/>
          <w:color w:val="000000"/>
          <w:sz w:val="32"/>
          <w:szCs w:val="32"/>
        </w:rPr>
        <w:t xml:space="preserve">第二十四条  </w:t>
      </w:r>
      <w:r>
        <w:rPr>
          <w:rFonts w:ascii="仿宋_GB2312;仿宋" w:hAnsi="仿宋_GB2312;仿宋" w:cs="仿宋_GB2312;仿宋" w:hint="eastAsia" w:eastAsia="仿宋_GB2312;仿宋"/>
          <w:color w:val="000000"/>
          <w:kern w:val="0"/>
          <w:sz w:val="32"/>
          <w:szCs w:val="32"/>
          <w:shd w:fill="FFFFFF" w:val="clear"/>
        </w:rPr>
        <w:t>县（市）、乡（镇）人民政府应当组织农村集体经济组织，按照国土空间规划，开展田、水、路、林、村综合整治，提高耕地质量，增加有效耕地面积，改善农业生产条件和生态环境。</w:t>
      </w:r>
    </w:p>
    <w:p>
      <w:pPr>
        <w:pStyle w:val="Normal"/>
        <w:pageBreakBefore w:val="false"/>
        <w:kinsoku w:val="true"/>
        <w:overflowPunct w:val="true"/>
        <w:autoSpaceDE w:val="true"/>
        <w:bidi w:val="0"/>
        <w:spacing w:lineRule="exact" w:line="560"/>
        <w:ind w:firstLineChars="200" w:startChars="0" w:start="0" w:endChars="0" w:end="0"/>
        <w:textAlignment w:val="auto"/>
        <w:rPr>
          <w:rFonts w:ascii="仿宋" w:hAnsi="仿宋" w:eastAsia="仿宋" w:cs="仿宋" w:hint="eastAsia"/>
          <w:b/>
          <w:bCs/>
          <w:color w:val="000000"/>
          <w:sz w:val="32"/>
          <w:szCs w:val="32"/>
        </w:rPr>
      </w:pPr>
      <w:r>
        <w:rPr>
          <w:rFonts w:ascii="仿宋_GB2312;仿宋" w:hAnsi="仿宋_GB2312;仿宋" w:cs="仿宋_GB2312;仿宋" w:hint="eastAsia" w:eastAsia="仿宋_GB2312;仿宋"/>
          <w:color w:val="000000"/>
          <w:kern w:val="0"/>
          <w:sz w:val="32"/>
          <w:szCs w:val="32"/>
          <w:shd w:fill="FFFFFF" w:val="clear"/>
        </w:rPr>
        <w:t>土地整理后新增耕地，由市（州）人民政府自然资源主管部门会同农业农村主管部门验收，验收结果报省人民政府自然资源主管部门备案，可以作为建设占用耕地的补充。</w:t>
      </w:r>
    </w:p>
    <w:p>
      <w:pPr>
        <w:pStyle w:val="Normal"/>
        <w:pageBreakBefore w:val="false"/>
        <w:kinsoku w:val="true"/>
        <w:overflowPunct w:val="true"/>
        <w:autoSpaceDE w:val="true"/>
        <w:bidi w:val="0"/>
        <w:spacing w:lineRule="exact" w:line="560"/>
        <w:ind w:firstLineChars="200" w:startChars="0" w:start="0" w:endChars="0" w:end="0"/>
        <w:textAlignment w:val="auto"/>
        <w:rPr>
          <w:rFonts w:ascii="仿宋" w:hAnsi="仿宋" w:eastAsia="仿宋" w:cs="仿宋" w:hint="eastAsia"/>
          <w:b/>
          <w:bCs/>
          <w:color w:val="000000"/>
          <w:sz w:val="32"/>
          <w:szCs w:val="32"/>
        </w:rPr>
      </w:pPr>
      <w:r>
        <w:rPr>
          <w:rFonts w:eastAsia="仿宋" w:cs="仿宋" w:hint="eastAsia" w:ascii="仿宋" w:hAnsi="仿宋"/>
          <w:b/>
          <w:bCs/>
          <w:color w:val="000000"/>
          <w:sz w:val="32"/>
          <w:szCs w:val="32"/>
        </w:rPr>
      </w:r>
    </w:p>
    <w:p>
      <w:pPr>
        <w:pStyle w:val="Heading1"/>
        <w:pageBreakBefore w:val="false"/>
        <w:numPr>
          <w:ilvl w:val="0"/>
          <w:numId w:val="0"/>
        </w:numPr>
        <w:kinsoku w:val="true"/>
        <w:overflowPunct w:val="true"/>
        <w:autoSpaceDE w:val="true"/>
        <w:bidi w:val="0"/>
        <w:spacing w:lineRule="exact" w:line="560" w:before="0" w:after="0"/>
        <w:ind w:hanging="0" w:start="0"/>
        <w:jc w:val="center"/>
        <w:textAlignment w:val="auto"/>
        <w:rPr>
          <w:rFonts w:ascii="黑体" w:hAnsi="黑体" w:eastAsia="黑体" w:cs="黑体" w:hint="eastAsia"/>
          <w:b w:val="false"/>
          <w:bCs w:val="false"/>
          <w:color w:val="000000"/>
          <w:sz w:val="32"/>
          <w:szCs w:val="32"/>
          <w:shd w:fill="FFFFFF" w:val="clear"/>
        </w:rPr>
      </w:pPr>
      <w:r>
        <w:rPr>
          <w:rFonts w:eastAsia="黑体" w:cs="黑体" w:hint="eastAsia" w:ascii="黑体" w:hAnsi="黑体"/>
          <w:b w:val="false"/>
          <w:bCs w:val="false"/>
          <w:color w:val="000000"/>
          <w:sz w:val="32"/>
          <w:szCs w:val="32"/>
          <w:shd w:fill="FFFFFF" w:val="clear"/>
        </w:rPr>
        <w:t xml:space="preserve"> </w:t>
      </w:r>
      <w:r>
        <w:rPr>
          <w:rFonts w:ascii="黑体" w:hAnsi="黑体" w:cs="黑体" w:hint="eastAsia" w:eastAsia="黑体"/>
          <w:b w:val="false"/>
          <w:bCs w:val="false"/>
          <w:color w:val="000000"/>
          <w:sz w:val="32"/>
          <w:szCs w:val="32"/>
          <w:shd w:fill="FFFFFF" w:val="clear"/>
        </w:rPr>
        <w:t>第四章  土地转用与土地征收</w:t>
      </w:r>
    </w:p>
    <w:p>
      <w:pPr>
        <w:pStyle w:val="Normal"/>
        <w:pageBreakBefore w:val="false"/>
        <w:numPr>
          <w:ilvl w:val="0"/>
          <w:numId w:val="0"/>
        </w:numPr>
        <w:kinsoku w:val="true"/>
        <w:overflowPunct w:val="true"/>
        <w:autoSpaceDE w:val="true"/>
        <w:bidi w:val="0"/>
        <w:spacing w:lineRule="exact" w:line="560"/>
        <w:ind w:firstLineChars="0" w:firstLine="0" w:startChars="0" w:start="0" w:endChars="0" w:end="0"/>
        <w:textAlignment w:val="auto"/>
        <w:rPr>
          <w:rFonts w:ascii="仿宋_GB2312;仿宋" w:hAnsi="仿宋_GB2312;仿宋" w:eastAsia="仿宋_GB2312;仿宋" w:cs="仿宋_GB2312;仿宋" w:hint="eastAsia"/>
          <w:b w:val="false"/>
          <w:bCs w:val="false"/>
          <w:color w:val="000000"/>
          <w:sz w:val="32"/>
          <w:szCs w:val="32"/>
          <w:shd w:fill="FFFFFF" w:val="clear"/>
        </w:rPr>
      </w:pPr>
      <w:r>
        <w:rPr>
          <w:rFonts w:eastAsia="仿宋_GB2312;仿宋" w:cs="仿宋_GB2312;仿宋" w:hint="eastAsia" w:ascii="仿宋_GB2312;仿宋" w:hAnsi="仿宋_GB2312;仿宋"/>
          <w:b w:val="false"/>
          <w:bCs w:val="false"/>
          <w:color w:val="000000"/>
          <w:sz w:val="32"/>
          <w:szCs w:val="32"/>
          <w:shd w:fill="FFFFFF" w:val="clear"/>
        </w:rPr>
      </w:r>
    </w:p>
    <w:p>
      <w:pPr>
        <w:pStyle w:val="Normal"/>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color w:val="000000"/>
          <w:kern w:val="0"/>
          <w:sz w:val="32"/>
          <w:szCs w:val="32"/>
          <w:shd w:fill="FFFFFF" w:val="clear"/>
        </w:rPr>
      </w:pPr>
      <w:r>
        <w:rPr>
          <w:rFonts w:ascii="黑体" w:hAnsi="黑体" w:cs="黑体" w:hint="eastAsia" w:eastAsia="黑体"/>
          <w:color w:val="000000"/>
          <w:sz w:val="32"/>
          <w:szCs w:val="32"/>
        </w:rPr>
        <w:t>第二十五条</w:t>
      </w:r>
      <w:r>
        <w:rPr>
          <w:rFonts w:ascii="仿宋" w:hAnsi="仿宋" w:cs="仿宋" w:hint="eastAsia" w:eastAsia="仿宋"/>
          <w:color w:val="000000"/>
          <w:sz w:val="32"/>
          <w:szCs w:val="32"/>
        </w:rPr>
        <w:t xml:space="preserve">  </w:t>
      </w:r>
      <w:r>
        <w:rPr>
          <w:rFonts w:ascii="仿宋_GB2312;仿宋" w:hAnsi="仿宋_GB2312;仿宋" w:cs="仿宋_GB2312;仿宋" w:hint="eastAsia" w:eastAsia="仿宋_GB2312;仿宋"/>
          <w:color w:val="000000"/>
          <w:kern w:val="0"/>
          <w:sz w:val="32"/>
          <w:szCs w:val="32"/>
          <w:shd w:fill="FFFFFF" w:val="clear"/>
        </w:rPr>
        <w:t>建设占用土地，应当符合国土空间规划和土地利用年度计划，涉及农用地转为建设用地的，应当依法办理农用地转用审批手续。</w:t>
      </w:r>
    </w:p>
    <w:p>
      <w:pPr>
        <w:pStyle w:val="Style14"/>
        <w:pageBreakBefore w:val="false"/>
        <w:widowControl/>
        <w:shd w:fill="FFFFFF" w:val="clear"/>
        <w:kinsoku w:val="true"/>
        <w:overflowPunct w:val="true"/>
        <w:autoSpaceDE w:val="true"/>
        <w:bidi w:val="0"/>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z w:val="32"/>
          <w:szCs w:val="32"/>
          <w:shd w:fill="FFFFFF" w:val="clear"/>
        </w:rPr>
      </w:pPr>
      <w:r>
        <w:rPr>
          <w:rFonts w:ascii="黑体" w:hAnsi="黑体" w:cs="黑体" w:hint="eastAsia" w:eastAsia="黑体"/>
          <w:color w:val="000000"/>
          <w:kern w:val="2"/>
          <w:sz w:val="32"/>
          <w:szCs w:val="32"/>
        </w:rPr>
        <w:t xml:space="preserve">第二十六条  </w:t>
      </w:r>
      <w:r>
        <w:rPr>
          <w:rFonts w:ascii="仿宋_GB2312;仿宋" w:hAnsi="仿宋_GB2312;仿宋" w:cs="仿宋_GB2312;仿宋" w:hint="eastAsia" w:eastAsia="仿宋_GB2312;仿宋"/>
          <w:color w:val="000000"/>
          <w:sz w:val="32"/>
          <w:szCs w:val="32"/>
          <w:shd w:fill="FFFFFF" w:val="clear"/>
        </w:rPr>
        <w:t>在国土空间规划确定的城市和村庄、集镇建设用地范围内，为实施规划而将永久基本农田以外的农用地转为建设用地的，由市（州）、县（市）人民政府组织自然资源等部门拟定农用地转用方案，分批次报原批准国土空间规划的机关或者其授权的机关批准。</w:t>
      </w:r>
    </w:p>
    <w:p>
      <w:pPr>
        <w:pStyle w:val="Style14"/>
        <w:pageBreakBefore w:val="false"/>
        <w:widowControl/>
        <w:shd w:fill="FFFFFF" w:val="clear"/>
        <w:kinsoku w:val="true"/>
        <w:overflowPunct w:val="true"/>
        <w:autoSpaceDE w:val="true"/>
        <w:bidi w:val="0"/>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z w:val="32"/>
          <w:szCs w:val="32"/>
          <w:shd w:fill="FFFFFF" w:val="clear"/>
        </w:rPr>
      </w:pPr>
      <w:r>
        <w:rPr>
          <w:rFonts w:ascii="仿宋_GB2312;仿宋" w:hAnsi="仿宋_GB2312;仿宋" w:cs="仿宋_GB2312;仿宋" w:hint="eastAsia" w:eastAsia="仿宋_GB2312;仿宋"/>
          <w:color w:val="000000"/>
          <w:sz w:val="32"/>
          <w:szCs w:val="32"/>
          <w:shd w:fill="FFFFFF" w:val="clear"/>
        </w:rPr>
        <w:t>在国土空间规划确定的城市和村庄、集镇建设用地范围外，将永久基本农田以外的农用地转为建设用地的，由省人民政府按照国务院授权批准。</w:t>
      </w:r>
    </w:p>
    <w:p>
      <w:pPr>
        <w:pStyle w:val="Style14"/>
        <w:pageBreakBefore w:val="false"/>
        <w:widowControl/>
        <w:shd w:fill="FFFFFF" w:val="clear"/>
        <w:kinsoku w:val="true"/>
        <w:overflowPunct w:val="true"/>
        <w:autoSpaceDE w:val="true"/>
        <w:bidi w:val="0"/>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z w:val="32"/>
          <w:szCs w:val="32"/>
          <w:shd w:fill="FFFFFF" w:val="clear"/>
        </w:rPr>
      </w:pPr>
      <w:r>
        <w:rPr>
          <w:rFonts w:ascii="黑体" w:hAnsi="黑体" w:cs="黑体" w:hint="eastAsia" w:eastAsia="黑体"/>
          <w:color w:val="000000"/>
          <w:sz w:val="32"/>
          <w:szCs w:val="32"/>
        </w:rPr>
        <w:t>第二十七条</w:t>
      </w:r>
      <w:r>
        <w:rPr>
          <w:rFonts w:ascii="仿宋_GB2312;仿宋" w:hAnsi="仿宋_GB2312;仿宋" w:cs="仿宋_GB2312;仿宋" w:eastAsia="仿宋_GB2312;仿宋"/>
          <w:color w:val="000000"/>
          <w:sz w:val="32"/>
          <w:szCs w:val="32"/>
          <w:shd w:fill="FFFFFF" w:val="clear"/>
        </w:rPr>
        <w:t xml:space="preserve">  </w:t>
      </w:r>
      <w:r>
        <w:rPr>
          <w:rFonts w:ascii="仿宋_GB2312;仿宋" w:hAnsi="仿宋_GB2312;仿宋" w:cs="仿宋_GB2312;仿宋" w:hint="eastAsia" w:eastAsia="仿宋_GB2312;仿宋"/>
          <w:color w:val="000000"/>
          <w:sz w:val="32"/>
          <w:szCs w:val="32"/>
          <w:shd w:fill="FFFFFF" w:val="clear"/>
        </w:rPr>
        <w:t>严格保护被划入生态保护红线的具有生态功能的未利用地。</w:t>
      </w:r>
    </w:p>
    <w:p>
      <w:pPr>
        <w:pStyle w:val="Style14"/>
        <w:pageBreakBefore w:val="false"/>
        <w:widowControl/>
        <w:shd w:fill="FFFFFF" w:val="clear"/>
        <w:kinsoku w:val="true"/>
        <w:overflowPunct w:val="true"/>
        <w:autoSpaceDE w:val="true"/>
        <w:bidi w:val="0"/>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z w:val="32"/>
          <w:szCs w:val="32"/>
          <w:shd w:fill="FFFFFF" w:val="clear"/>
        </w:rPr>
      </w:pPr>
      <w:r>
        <w:rPr>
          <w:rFonts w:ascii="仿宋_GB2312;仿宋" w:hAnsi="仿宋_GB2312;仿宋" w:cs="仿宋_GB2312;仿宋" w:hint="eastAsia" w:eastAsia="仿宋_GB2312;仿宋"/>
          <w:color w:val="000000"/>
          <w:sz w:val="32"/>
          <w:szCs w:val="32"/>
          <w:shd w:fill="FFFFFF" w:val="clear"/>
        </w:rPr>
        <w:t>未经批准不得占用未利用地。建设项目确需占用未利用地的，参照农用地转用的审批权限和程序办理。</w:t>
      </w:r>
    </w:p>
    <w:p>
      <w:pPr>
        <w:pStyle w:val="Style14"/>
        <w:pageBreakBefore w:val="false"/>
        <w:widowControl/>
        <w:shd w:fill="FFFFFF" w:val="clear"/>
        <w:kinsoku w:val="true"/>
        <w:overflowPunct w:val="true"/>
        <w:autoSpaceDE w:val="true"/>
        <w:bidi w:val="0"/>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z w:val="32"/>
          <w:szCs w:val="32"/>
          <w:shd w:fill="FFFFFF" w:val="clear"/>
        </w:rPr>
      </w:pPr>
      <w:r>
        <w:rPr>
          <w:rFonts w:ascii="黑体" w:hAnsi="黑体" w:cs="黑体" w:hint="eastAsia" w:eastAsia="黑体"/>
          <w:color w:val="000000"/>
          <w:kern w:val="2"/>
          <w:sz w:val="32"/>
          <w:szCs w:val="32"/>
        </w:rPr>
        <w:t xml:space="preserve">第二十八条 </w:t>
      </w:r>
      <w:r>
        <w:rPr>
          <w:rFonts w:ascii="仿宋" w:hAnsi="仿宋" w:cs="仿宋" w:hint="eastAsia" w:eastAsia="仿宋"/>
          <w:color w:val="000000"/>
          <w:kern w:val="2"/>
          <w:sz w:val="32"/>
          <w:szCs w:val="32"/>
        </w:rPr>
        <w:t xml:space="preserve"> </w:t>
      </w:r>
      <w:r>
        <w:rPr>
          <w:rFonts w:ascii="仿宋_GB2312;仿宋" w:hAnsi="仿宋_GB2312;仿宋" w:cs="仿宋_GB2312;仿宋" w:hint="eastAsia" w:eastAsia="仿宋_GB2312;仿宋"/>
          <w:color w:val="000000"/>
          <w:sz w:val="32"/>
          <w:szCs w:val="32"/>
          <w:shd w:fill="FFFFFF" w:val="clear"/>
        </w:rPr>
        <w:t>县级以上人民政府申请征收土地时，应当按照《中华人民共和国土地管理法》第四十五条规定，界定是否符合公共利益确需征收土地的情形，其中属于成片开发建设的，应当按照国家和省有关规定编制土地征收成片开发方案。成片开发方案经依法批准后，方可按照法律、行政法规和本条例规定申请征收土地。</w:t>
      </w:r>
    </w:p>
    <w:p>
      <w:pPr>
        <w:pStyle w:val="Normal"/>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color w:val="000000"/>
          <w:kern w:val="0"/>
          <w:sz w:val="32"/>
          <w:szCs w:val="32"/>
          <w:shd w:fill="FFFFFF" w:val="clear"/>
        </w:rPr>
      </w:pPr>
      <w:r>
        <w:rPr>
          <w:rFonts w:ascii="黑体" w:hAnsi="黑体" w:cs="黑体" w:hint="eastAsia" w:eastAsia="黑体"/>
          <w:color w:val="000000"/>
          <w:sz w:val="32"/>
          <w:szCs w:val="32"/>
        </w:rPr>
        <w:t xml:space="preserve">第二十九条  </w:t>
      </w:r>
      <w:r>
        <w:rPr>
          <w:rFonts w:ascii="仿宋_GB2312;仿宋" w:hAnsi="仿宋_GB2312;仿宋" w:cs="仿宋_GB2312;仿宋" w:hint="eastAsia" w:eastAsia="仿宋_GB2312;仿宋"/>
          <w:color w:val="000000"/>
          <w:kern w:val="0"/>
          <w:sz w:val="32"/>
          <w:szCs w:val="32"/>
          <w:shd w:fill="FFFFFF" w:val="clear"/>
        </w:rPr>
        <w:t>县级以上人民政府负责本行政区域内土地征收工作，发布征收土地预公告，组织开展拟征收土地现状调查、社会稳定风险评估，确定并公告征地补偿安置方案，发布征收土地公告，作出征地补偿安置决定等。</w:t>
      </w:r>
    </w:p>
    <w:p>
      <w:pPr>
        <w:pStyle w:val="Normal"/>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color w:val="000000"/>
          <w:kern w:val="0"/>
          <w:sz w:val="32"/>
          <w:szCs w:val="32"/>
          <w:shd w:fill="FFFFFF" w:val="clear"/>
        </w:rPr>
      </w:pPr>
      <w:r>
        <w:rPr>
          <w:rFonts w:ascii="仿宋_GB2312;仿宋" w:hAnsi="仿宋_GB2312;仿宋" w:cs="仿宋_GB2312;仿宋" w:hint="eastAsia" w:eastAsia="仿宋_GB2312;仿宋"/>
          <w:color w:val="000000"/>
          <w:kern w:val="0"/>
          <w:sz w:val="32"/>
          <w:szCs w:val="32"/>
          <w:shd w:fill="FFFFFF" w:val="clear"/>
        </w:rPr>
        <w:t>县级以上人民政府确定的土地征收实施机构负责土地征收的具体工作。</w:t>
      </w:r>
    </w:p>
    <w:p>
      <w:pPr>
        <w:pStyle w:val="Normal"/>
        <w:pageBreakBefore w:val="false"/>
        <w:pBdr/>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color w:val="000000"/>
          <w:kern w:val="0"/>
          <w:sz w:val="32"/>
          <w:szCs w:val="32"/>
          <w:shd w:fill="FFFFFF" w:val="clear"/>
        </w:rPr>
      </w:pPr>
      <w:r>
        <w:rPr>
          <w:rFonts w:ascii="黑体" w:hAnsi="黑体" w:cs="黑体" w:hint="eastAsia" w:eastAsia="黑体"/>
          <w:color w:val="000000"/>
          <w:sz w:val="32"/>
          <w:szCs w:val="32"/>
        </w:rPr>
        <w:t xml:space="preserve">第三十条 </w:t>
      </w:r>
      <w:r>
        <w:rPr>
          <w:rFonts w:ascii="仿宋_GB2312;仿宋" w:hAnsi="仿宋_GB2312;仿宋" w:cs="仿宋_GB2312;仿宋" w:hint="eastAsia" w:eastAsia="仿宋_GB2312;仿宋"/>
          <w:color w:val="000000"/>
          <w:kern w:val="0"/>
          <w:sz w:val="32"/>
          <w:szCs w:val="32"/>
          <w:shd w:fill="FFFFFF" w:val="clear"/>
        </w:rPr>
        <w:t>县级以上人民政府应当在政府网站、拟征收土地所在的乡（镇）政务公开栏和村务公开栏以及村民小组显著位置发布征收土地预公告。</w:t>
      </w:r>
    </w:p>
    <w:p>
      <w:pPr>
        <w:pStyle w:val="Normal"/>
        <w:pageBreakBefore w:val="false"/>
        <w:pBdr/>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color w:val="000000"/>
          <w:kern w:val="0"/>
          <w:sz w:val="32"/>
          <w:szCs w:val="32"/>
          <w:shd w:fill="FFFFFF" w:val="clear"/>
        </w:rPr>
      </w:pPr>
      <w:r>
        <w:rPr>
          <w:rFonts w:ascii="仿宋_GB2312;仿宋" w:hAnsi="仿宋_GB2312;仿宋" w:cs="仿宋_GB2312;仿宋" w:hint="eastAsia" w:eastAsia="仿宋_GB2312;仿宋"/>
          <w:color w:val="000000"/>
          <w:kern w:val="0"/>
          <w:sz w:val="32"/>
          <w:szCs w:val="32"/>
          <w:shd w:fill="FFFFFF" w:val="clear"/>
        </w:rPr>
        <w:t>预公告内容包括征收范围、征收目的、开展土地现状调查的安排等，预公告时间不少于十个工作日。</w:t>
      </w:r>
    </w:p>
    <w:p>
      <w:pPr>
        <w:pStyle w:val="Normal"/>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color w:val="000000"/>
          <w:kern w:val="0"/>
          <w:sz w:val="32"/>
          <w:szCs w:val="32"/>
          <w:shd w:fill="FFFFFF" w:val="clear"/>
        </w:rPr>
      </w:pPr>
      <w:r>
        <w:rPr>
          <w:rFonts w:ascii="仿宋_GB2312;仿宋" w:hAnsi="仿宋_GB2312;仿宋" w:cs="仿宋_GB2312;仿宋" w:hint="eastAsia" w:eastAsia="仿宋_GB2312;仿宋"/>
          <w:color w:val="000000"/>
          <w:kern w:val="0"/>
          <w:sz w:val="32"/>
          <w:szCs w:val="32"/>
          <w:shd w:fill="FFFFFF" w:val="clear"/>
        </w:rPr>
        <w:t>自征收土地预公告发布之日起，任何单位和个人不得在拟征收范围内抢栽抢建；违反规定抢栽抢建的，对抢栽抢建部分不予补偿。</w:t>
      </w:r>
    </w:p>
    <w:p>
      <w:pPr>
        <w:pStyle w:val="Normal"/>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color w:val="000000"/>
          <w:kern w:val="0"/>
          <w:sz w:val="32"/>
          <w:szCs w:val="32"/>
          <w:shd w:fill="FFFFFF" w:val="clear"/>
        </w:rPr>
      </w:pPr>
      <w:r>
        <w:rPr>
          <w:rFonts w:ascii="黑体" w:hAnsi="黑体" w:cs="黑体" w:hint="eastAsia" w:eastAsia="黑体"/>
          <w:color w:val="000000"/>
          <w:sz w:val="32"/>
          <w:szCs w:val="32"/>
        </w:rPr>
        <w:t>第三十一条</w:t>
      </w:r>
      <w:r>
        <w:rPr>
          <w:rFonts w:ascii="仿宋" w:hAnsi="仿宋" w:cs="仿宋" w:hint="eastAsia" w:eastAsia="仿宋"/>
          <w:color w:val="000000"/>
          <w:sz w:val="32"/>
          <w:szCs w:val="32"/>
        </w:rPr>
        <w:t xml:space="preserve">  </w:t>
      </w:r>
      <w:r>
        <w:rPr>
          <w:rFonts w:ascii="仿宋_GB2312;仿宋" w:hAnsi="仿宋_GB2312;仿宋" w:cs="仿宋_GB2312;仿宋" w:hint="eastAsia" w:eastAsia="仿宋_GB2312;仿宋"/>
          <w:color w:val="000000"/>
          <w:kern w:val="0"/>
          <w:sz w:val="32"/>
          <w:szCs w:val="32"/>
          <w:shd w:fill="FFFFFF" w:val="clear"/>
        </w:rPr>
        <w:t>土地征收前，县级以上人民政府应当组织开展土地现状调查，查明土地的位置、权属、地类、面积，以及农村村民住宅、其他地上附着物和青苗等的权属、种类、数量等情况。</w:t>
      </w:r>
    </w:p>
    <w:p>
      <w:pPr>
        <w:pStyle w:val="Normal"/>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color w:val="000000"/>
          <w:kern w:val="0"/>
          <w:sz w:val="32"/>
          <w:szCs w:val="32"/>
          <w:shd w:fill="FFFFFF" w:val="clear"/>
        </w:rPr>
      </w:pPr>
      <w:r>
        <w:rPr>
          <w:rFonts w:ascii="仿宋_GB2312;仿宋" w:hAnsi="仿宋_GB2312;仿宋" w:cs="仿宋_GB2312;仿宋" w:hint="eastAsia" w:eastAsia="仿宋_GB2312;仿宋"/>
          <w:color w:val="000000"/>
          <w:kern w:val="0"/>
          <w:sz w:val="32"/>
          <w:szCs w:val="32"/>
          <w:shd w:fill="FFFFFF" w:val="clear"/>
        </w:rPr>
        <w:t>拟征收土地现状调查结果应当由被征收土地所有权人盖章确认；涉及被征地农民的，应当由三名以上被征地农民签字见证；涉及被征地农民不足三名的，应当由所有被征地农民签字见证；涉及被征收住宅、其他地上附着物和青苗的，应当由所有权人、使用权人签字确认。不同意签字或者因客观原因无法签字的，可以对调查结果予以公证或者采取摄影、摄像等方式留存证据。</w:t>
      </w:r>
      <w:bookmarkStart w:id="0" w:name="_Hlk64902605"/>
    </w:p>
    <w:p>
      <w:pPr>
        <w:pStyle w:val="Normal"/>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color w:val="000000"/>
          <w:kern w:val="0"/>
          <w:sz w:val="32"/>
          <w:szCs w:val="32"/>
          <w:shd w:fill="FFFFFF" w:val="clear"/>
        </w:rPr>
      </w:pPr>
      <w:r>
        <w:rPr>
          <w:rFonts w:ascii="仿宋_GB2312;仿宋" w:hAnsi="仿宋_GB2312;仿宋" w:cs="仿宋_GB2312;仿宋" w:hint="eastAsia" w:eastAsia="仿宋_GB2312;仿宋"/>
          <w:color w:val="000000"/>
          <w:kern w:val="0"/>
          <w:sz w:val="32"/>
          <w:szCs w:val="32"/>
          <w:shd w:fill="FFFFFF" w:val="clear"/>
        </w:rPr>
        <w:t>拟征收土地现状调查结果公告时间不少于五个工作日。</w:t>
      </w:r>
    </w:p>
    <w:p>
      <w:pPr>
        <w:pStyle w:val="Normal"/>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color w:val="000000"/>
          <w:kern w:val="0"/>
          <w:sz w:val="32"/>
          <w:szCs w:val="32"/>
          <w:shd w:fill="FFFFFF" w:val="clear"/>
        </w:rPr>
      </w:pPr>
      <w:r>
        <w:rPr>
          <w:rFonts w:ascii="黑体" w:hAnsi="黑体" w:cs="黑体" w:hint="eastAsia" w:eastAsia="黑体"/>
          <w:color w:val="000000"/>
          <w:sz w:val="32"/>
          <w:szCs w:val="32"/>
        </w:rPr>
        <w:t>第三十二条</w:t>
      </w:r>
      <w:r>
        <w:rPr>
          <w:rFonts w:ascii="仿宋" w:hAnsi="仿宋" w:cs="仿宋" w:hint="eastAsia" w:eastAsia="仿宋"/>
          <w:color w:val="000000"/>
          <w:sz w:val="32"/>
          <w:szCs w:val="32"/>
        </w:rPr>
        <w:t xml:space="preserve">  </w:t>
      </w:r>
      <w:r>
        <w:rPr>
          <w:rFonts w:ascii="仿宋_GB2312;仿宋" w:hAnsi="仿宋_GB2312;仿宋" w:cs="仿宋_GB2312;仿宋" w:hint="eastAsia" w:eastAsia="仿宋_GB2312;仿宋"/>
          <w:color w:val="000000"/>
          <w:kern w:val="0"/>
          <w:sz w:val="32"/>
          <w:szCs w:val="32"/>
          <w:shd w:fill="FFFFFF" w:val="clear"/>
        </w:rPr>
        <w:t>征收土地前，县级以上人民政府应当开展社会稳定风险评估，针对拟征收土地的社会稳定风险状况进行综合研判，确定社会稳定风险点，提出风险防范措施和处置预案，形成评估报告。社会稳定风险评估应当有被征收土地的农村集体经济组织及其成员、村民委员会和其他利害关系人参加，评估结果是申请征收土地的重要依据。</w:t>
      </w:r>
    </w:p>
    <w:p>
      <w:pPr>
        <w:pStyle w:val="Normal"/>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color w:val="000000"/>
          <w:kern w:val="0"/>
          <w:sz w:val="32"/>
          <w:szCs w:val="32"/>
          <w:shd w:fill="FFFFFF" w:val="clear"/>
        </w:rPr>
      </w:pPr>
      <w:bookmarkStart w:id="1" w:name="_Hlk64902621"/>
      <w:bookmarkEnd w:id="0"/>
      <w:r>
        <w:rPr>
          <w:rFonts w:ascii="黑体" w:hAnsi="黑体" w:cs="黑体" w:hint="eastAsia" w:eastAsia="黑体"/>
          <w:color w:val="000000"/>
          <w:sz w:val="32"/>
          <w:szCs w:val="32"/>
        </w:rPr>
        <w:t>第三十三条</w:t>
      </w:r>
      <w:r>
        <w:rPr>
          <w:rFonts w:ascii="仿宋" w:hAnsi="仿宋" w:cs="仿宋" w:hint="eastAsia" w:eastAsia="仿宋"/>
          <w:color w:val="000000"/>
          <w:sz w:val="32"/>
          <w:szCs w:val="32"/>
        </w:rPr>
        <w:t xml:space="preserve">  </w:t>
      </w:r>
      <w:r>
        <w:rPr>
          <w:rFonts w:ascii="仿宋_GB2312;仿宋" w:hAnsi="仿宋_GB2312;仿宋" w:cs="仿宋_GB2312;仿宋" w:hint="eastAsia" w:eastAsia="仿宋_GB2312;仿宋"/>
          <w:color w:val="000000"/>
          <w:kern w:val="0"/>
          <w:sz w:val="32"/>
          <w:szCs w:val="32"/>
          <w:shd w:fill="FFFFFF" w:val="clear"/>
        </w:rPr>
        <w:t>县级以上人民政府依据社会稳定风险评估结果，结合土地现状调查情况，依法组织自然资源、财政、农业农村、人力资源和社会保障等部门编制征地补偿安置方案。</w:t>
      </w:r>
    </w:p>
    <w:p>
      <w:pPr>
        <w:pStyle w:val="Normal"/>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color w:val="000000"/>
          <w:kern w:val="0"/>
          <w:sz w:val="32"/>
          <w:szCs w:val="32"/>
          <w:shd w:fill="FFFFFF" w:val="clear"/>
        </w:rPr>
      </w:pPr>
      <w:r>
        <w:rPr>
          <w:rFonts w:ascii="仿宋_GB2312;仿宋" w:hAnsi="仿宋_GB2312;仿宋" w:cs="仿宋_GB2312;仿宋" w:hint="eastAsia" w:eastAsia="仿宋_GB2312;仿宋"/>
          <w:color w:val="000000"/>
          <w:kern w:val="0"/>
          <w:sz w:val="32"/>
          <w:szCs w:val="32"/>
          <w:shd w:fill="FFFFFF" w:val="clear"/>
        </w:rPr>
        <w:t>征地补偿安置方案应当包括征收范围、土地现状、征收目的、补偿方式和标准、安置对象、安置方式、社会保障等内容，并在政府网站、拟征收土地所在的乡（镇）政务公开栏和村务公开栏以及村民小组显著位置进行公告，听取被征地的农村集体经济组织及其成员、村民委员会和其他利害关系人的意见。公告内容应当同时载明办理补偿登记的方式和期限、不办理补偿登记的后果以及异议反馈渠道等内容，公告时间不少于三十日。</w:t>
      </w:r>
    </w:p>
    <w:p>
      <w:pPr>
        <w:pStyle w:val="Normal"/>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color w:val="000000"/>
          <w:kern w:val="0"/>
          <w:sz w:val="32"/>
          <w:szCs w:val="32"/>
          <w:shd w:fill="FFFFFF" w:val="clear"/>
        </w:rPr>
      </w:pPr>
      <w:r>
        <w:rPr>
          <w:rFonts w:ascii="仿宋_GB2312;仿宋" w:hAnsi="仿宋_GB2312;仿宋" w:cs="仿宋_GB2312;仿宋" w:hint="eastAsia" w:eastAsia="仿宋_GB2312;仿宋"/>
          <w:color w:val="000000"/>
          <w:kern w:val="0"/>
          <w:sz w:val="32"/>
          <w:szCs w:val="32"/>
          <w:shd w:fill="FFFFFF" w:val="clear"/>
        </w:rPr>
        <w:t>拟征收土地的所有权人、使用权人应当在公告载明的办理补偿登记期限内，持不动产权属证明材料办理补偿登记。补偿登记办理过程，可以采用邀请公证机构现场公证等形式进行记录。未在规定期限内办理补偿登记的，以公示的土地现状调查结果作为征地补偿安置依据。</w:t>
      </w:r>
    </w:p>
    <w:p>
      <w:pPr>
        <w:pStyle w:val="Normal"/>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color w:val="000000"/>
          <w:kern w:val="0"/>
          <w:sz w:val="32"/>
          <w:szCs w:val="32"/>
          <w:shd w:fill="FFFFFF" w:val="clear"/>
        </w:rPr>
      </w:pPr>
      <w:r>
        <w:rPr>
          <w:rFonts w:ascii="仿宋_GB2312;仿宋" w:hAnsi="仿宋_GB2312;仿宋" w:cs="仿宋_GB2312;仿宋" w:hint="eastAsia" w:eastAsia="仿宋_GB2312;仿宋"/>
          <w:color w:val="000000"/>
          <w:kern w:val="0"/>
          <w:sz w:val="32"/>
          <w:szCs w:val="32"/>
          <w:shd w:fill="FFFFFF" w:val="clear"/>
        </w:rPr>
        <w:t>公告期满五个工作日内，半数以上被征地农村集体经济组织成员认为征地补偿安置方案不符合法律、法规规定的，县级以上人民政府应当组织召开听证会听取意见，根据法律、法规规定和听证会情况修改方案并公布，公布时间不少于十个工作日，并重新载明办理补偿登记期限，参照前款规定办理补偿登记。</w:t>
      </w:r>
    </w:p>
    <w:p>
      <w:pPr>
        <w:pStyle w:val="Normal"/>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color w:val="000000"/>
          <w:kern w:val="0"/>
          <w:sz w:val="32"/>
          <w:szCs w:val="32"/>
          <w:shd w:fill="FFFFFF" w:val="clear"/>
        </w:rPr>
      </w:pPr>
      <w:r>
        <w:rPr>
          <w:rFonts w:ascii="黑体" w:hAnsi="黑体" w:cs="黑体" w:hint="eastAsia" w:eastAsia="黑体"/>
          <w:color w:val="000000"/>
          <w:sz w:val="32"/>
          <w:szCs w:val="32"/>
        </w:rPr>
        <w:t>第三十四条</w:t>
      </w:r>
      <w:r>
        <w:rPr>
          <w:rFonts w:ascii="仿宋" w:hAnsi="仿宋" w:cs="仿宋" w:hint="eastAsia" w:eastAsia="仿宋"/>
          <w:color w:val="000000"/>
          <w:sz w:val="32"/>
          <w:szCs w:val="32"/>
        </w:rPr>
        <w:t xml:space="preserve">  </w:t>
      </w:r>
      <w:r>
        <w:rPr>
          <w:rFonts w:ascii="仿宋_GB2312;仿宋" w:hAnsi="仿宋_GB2312;仿宋" w:cs="仿宋_GB2312;仿宋" w:hint="eastAsia" w:eastAsia="仿宋_GB2312;仿宋"/>
          <w:color w:val="000000"/>
          <w:kern w:val="0"/>
          <w:sz w:val="32"/>
          <w:szCs w:val="32"/>
          <w:shd w:fill="FFFFFF" w:val="clear"/>
        </w:rPr>
        <w:t>县级以上人民政府根据法律、法规规定和听证会等情况确定征地补偿安置方案后，应当组织有关部门测算并落实有关费用，保证有关费用足额到位，并由有关部门与拟征收土地的所有权人、使用权人签订征地补偿安置协议。</w:t>
      </w:r>
    </w:p>
    <w:p>
      <w:pPr>
        <w:pStyle w:val="Normal"/>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color w:val="000000"/>
          <w:kern w:val="0"/>
          <w:sz w:val="32"/>
          <w:szCs w:val="32"/>
          <w:shd w:fill="FFFFFF" w:val="clear"/>
        </w:rPr>
      </w:pPr>
      <w:r>
        <w:rPr>
          <w:rFonts w:ascii="仿宋_GB2312;仿宋" w:hAnsi="仿宋_GB2312;仿宋" w:cs="仿宋_GB2312;仿宋" w:hint="eastAsia" w:eastAsia="仿宋_GB2312;仿宋"/>
          <w:color w:val="000000"/>
          <w:kern w:val="0"/>
          <w:sz w:val="32"/>
          <w:szCs w:val="32"/>
          <w:shd w:fill="FFFFFF" w:val="clear"/>
        </w:rPr>
        <w:t>征地补偿安置协议应当依法约定补偿安置方式，征地补偿费用的支付期限、方式，交付土地的期限、条件，签约双方的义务以及违约责任，争议的解决方式等。</w:t>
      </w:r>
    </w:p>
    <w:p>
      <w:pPr>
        <w:pStyle w:val="Style14"/>
        <w:pageBreakBefore w:val="false"/>
        <w:widowControl/>
        <w:shd w:fill="FFFFFF" w:val="clear"/>
        <w:kinsoku w:val="true"/>
        <w:overflowPunct w:val="true"/>
        <w:autoSpaceDE w:val="true"/>
        <w:bidi w:val="0"/>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shd w:fill="FFFFFF" w:val="clear"/>
        </w:rPr>
      </w:pPr>
      <w:r>
        <w:rPr>
          <w:rFonts w:ascii="仿宋_GB2312;仿宋" w:hAnsi="仿宋_GB2312;仿宋" w:cs="仿宋_GB2312;仿宋" w:hint="eastAsia" w:eastAsia="仿宋_GB2312;仿宋"/>
          <w:color w:val="000000"/>
          <w:kern w:val="0"/>
          <w:sz w:val="32"/>
          <w:szCs w:val="32"/>
          <w:shd w:fill="FFFFFF" w:val="clear"/>
        </w:rPr>
        <w:t>征地补偿安置协议签订期限内，个别确实难以达成协议的，县级以上人民政府应当记录在案，在申请征收土地时如实作出说明。</w:t>
      </w:r>
    </w:p>
    <w:p>
      <w:pPr>
        <w:pStyle w:val="Style14"/>
        <w:pageBreakBefore w:val="false"/>
        <w:widowControl/>
        <w:shd w:fill="FFFFFF" w:val="clear"/>
        <w:kinsoku w:val="true"/>
        <w:overflowPunct w:val="true"/>
        <w:autoSpaceDE w:val="true"/>
        <w:bidi w:val="0"/>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z w:val="32"/>
          <w:szCs w:val="32"/>
          <w:shd w:fill="FFFFFF" w:val="clear"/>
        </w:rPr>
      </w:pPr>
      <w:bookmarkStart w:id="2" w:name="_Hlk64902724"/>
      <w:bookmarkEnd w:id="1"/>
      <w:r>
        <w:rPr>
          <w:rFonts w:ascii="黑体" w:hAnsi="黑体" w:cs="黑体" w:hint="eastAsia" w:eastAsia="黑体"/>
          <w:color w:val="000000"/>
          <w:kern w:val="2"/>
          <w:sz w:val="32"/>
          <w:szCs w:val="32"/>
        </w:rPr>
        <w:t xml:space="preserve">第三十五条 </w:t>
      </w:r>
      <w:bookmarkEnd w:id="2"/>
      <w:r>
        <w:rPr>
          <w:rFonts w:ascii="黑体" w:hAnsi="黑体" w:cs="黑体" w:hint="eastAsia" w:eastAsia="黑体"/>
          <w:color w:val="000000"/>
          <w:kern w:val="2"/>
          <w:sz w:val="32"/>
          <w:szCs w:val="32"/>
        </w:rPr>
        <w:t xml:space="preserve"> </w:t>
      </w:r>
      <w:r>
        <w:rPr>
          <w:rFonts w:ascii="仿宋_GB2312;仿宋" w:hAnsi="仿宋_GB2312;仿宋" w:cs="仿宋_GB2312;仿宋" w:hint="eastAsia" w:eastAsia="仿宋_GB2312;仿宋"/>
          <w:color w:val="000000"/>
          <w:kern w:val="0"/>
          <w:sz w:val="32"/>
          <w:szCs w:val="32"/>
          <w:shd w:fill="FFFFFF" w:val="clear"/>
        </w:rPr>
        <w:t>县级以上人</w:t>
      </w:r>
      <w:r>
        <w:rPr>
          <w:rFonts w:ascii="仿宋_GB2312;仿宋" w:hAnsi="仿宋_GB2312;仿宋" w:cs="仿宋_GB2312;仿宋" w:hint="eastAsia" w:eastAsia="仿宋_GB2312;仿宋"/>
          <w:color w:val="000000"/>
          <w:sz w:val="32"/>
          <w:szCs w:val="32"/>
          <w:shd w:fill="FFFFFF" w:val="clear"/>
        </w:rPr>
        <w:t>民政府完成土地征收预公告、征收土地现状调查与社会稳定风险评估、征地补偿安置方案公告与听证、征地补偿登记与协议签订等相关前期工作后，方可提出征收土地申请。</w:t>
      </w:r>
    </w:p>
    <w:p>
      <w:pPr>
        <w:pStyle w:val="Normal"/>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color w:val="000000"/>
          <w:kern w:val="0"/>
          <w:sz w:val="32"/>
          <w:szCs w:val="32"/>
          <w:shd w:fill="FFFFFF" w:val="clear"/>
        </w:rPr>
      </w:pPr>
      <w:r>
        <w:rPr>
          <w:rFonts w:ascii="黑体" w:hAnsi="黑体" w:cs="黑体" w:hint="eastAsia" w:eastAsia="黑体"/>
          <w:color w:val="000000"/>
          <w:sz w:val="32"/>
          <w:szCs w:val="32"/>
        </w:rPr>
        <w:t>第三十六条</w:t>
      </w:r>
      <w:r>
        <w:rPr>
          <w:rFonts w:ascii="仿宋" w:hAnsi="仿宋" w:cs="仿宋" w:hint="eastAsia" w:eastAsia="仿宋"/>
          <w:color w:val="000000"/>
          <w:sz w:val="32"/>
          <w:szCs w:val="32"/>
        </w:rPr>
        <w:t xml:space="preserve"> </w:t>
      </w:r>
      <w:r>
        <w:rPr>
          <w:rFonts w:ascii="仿宋_GB2312;仿宋" w:hAnsi="仿宋_GB2312;仿宋" w:cs="仿宋_GB2312;仿宋" w:hint="eastAsia" w:eastAsia="仿宋_GB2312;仿宋"/>
          <w:color w:val="000000"/>
          <w:sz w:val="32"/>
          <w:szCs w:val="32"/>
        </w:rPr>
        <w:t xml:space="preserve"> </w:t>
      </w:r>
      <w:r>
        <w:rPr>
          <w:rFonts w:ascii="仿宋_GB2312;仿宋" w:hAnsi="仿宋_GB2312;仿宋" w:cs="仿宋_GB2312;仿宋" w:hint="eastAsia" w:eastAsia="仿宋_GB2312;仿宋"/>
          <w:color w:val="000000"/>
          <w:kern w:val="0"/>
          <w:sz w:val="32"/>
          <w:szCs w:val="32"/>
          <w:shd w:fill="FFFFFF" w:val="clear"/>
        </w:rPr>
        <w:t>征收土地申请经依法批准后，县级以上人民政府应当自收到批准文件之日起十五个工作日内在政府网站、征收土地所在的乡（镇）政务公开栏和村务公开栏以及村民小组显著位置进行公告，公告时间不少于三十日。</w:t>
      </w:r>
    </w:p>
    <w:p>
      <w:pPr>
        <w:pStyle w:val="Normal"/>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color w:val="000000"/>
          <w:kern w:val="0"/>
          <w:sz w:val="32"/>
          <w:szCs w:val="32"/>
          <w:shd w:fill="FFFFFF" w:val="clear"/>
        </w:rPr>
      </w:pPr>
      <w:r>
        <w:rPr>
          <w:rFonts w:ascii="仿宋_GB2312;仿宋" w:hAnsi="仿宋_GB2312;仿宋" w:cs="仿宋_GB2312;仿宋" w:hint="eastAsia" w:eastAsia="仿宋_GB2312;仿宋"/>
          <w:color w:val="000000"/>
          <w:kern w:val="0"/>
          <w:sz w:val="32"/>
          <w:szCs w:val="32"/>
          <w:shd w:fill="FFFFFF" w:val="clear"/>
        </w:rPr>
        <w:t>公告内容包括批准征地机关、批准文号、征收土地的用途、权属、范围、面积以及征地补偿标准、征收时间、农业人员安置办法和办理征地补偿的期限等。</w:t>
      </w:r>
    </w:p>
    <w:p>
      <w:pPr>
        <w:pStyle w:val="Normal"/>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color w:val="000000"/>
          <w:kern w:val="0"/>
          <w:sz w:val="32"/>
          <w:szCs w:val="32"/>
          <w:shd w:fill="FFFFFF" w:val="clear"/>
        </w:rPr>
      </w:pPr>
      <w:r>
        <w:rPr>
          <w:rFonts w:ascii="仿宋_GB2312;仿宋" w:hAnsi="仿宋_GB2312;仿宋" w:cs="仿宋_GB2312;仿宋" w:hint="eastAsia" w:eastAsia="仿宋_GB2312;仿宋"/>
          <w:color w:val="000000"/>
          <w:kern w:val="0"/>
          <w:sz w:val="32"/>
          <w:szCs w:val="32"/>
          <w:shd w:fill="FFFFFF" w:val="clear"/>
        </w:rPr>
        <w:t>对个别未签订征地补偿安置协议的，县级以上人民政府在土地征收公告期满后，应当依据征地补偿安置方案和补偿登记结果作出征地补偿安置决定，并依法组织实施。</w:t>
      </w:r>
    </w:p>
    <w:p>
      <w:pPr>
        <w:pStyle w:val="Normal"/>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color w:val="000000"/>
          <w:kern w:val="0"/>
          <w:sz w:val="32"/>
          <w:szCs w:val="32"/>
          <w:shd w:fill="FFFFFF" w:val="clear"/>
        </w:rPr>
      </w:pPr>
      <w:r>
        <w:rPr>
          <w:rFonts w:ascii="黑体" w:hAnsi="黑体" w:cs="黑体" w:hint="eastAsia" w:eastAsia="黑体"/>
          <w:color w:val="000000"/>
          <w:sz w:val="32"/>
          <w:szCs w:val="32"/>
        </w:rPr>
        <w:t xml:space="preserve">第三十七条 </w:t>
      </w:r>
      <w:r>
        <w:rPr>
          <w:rFonts w:ascii="仿宋_GB2312;仿宋" w:hAnsi="仿宋_GB2312;仿宋" w:cs="仿宋_GB2312;仿宋" w:hint="eastAsia" w:eastAsia="仿宋_GB2312;仿宋"/>
          <w:color w:val="000000"/>
          <w:kern w:val="0"/>
          <w:sz w:val="32"/>
          <w:szCs w:val="32"/>
          <w:shd w:fill="FFFFFF" w:val="clear"/>
        </w:rPr>
        <w:t>县级以上人民政府应当自发布征收土地公告之日起三个月内，对已经签订征地补偿安置协议的，将征地补偿费用足额支付到位；对未签订征地补偿安置协议的，应当在作出征地补偿安置决定并依法送达后，将所涉及的征地补偿费用存入指定银行账户。征地补偿费用未按照规定足额支付到位的，不得强行占用被征收土地。</w:t>
      </w:r>
    </w:p>
    <w:p>
      <w:pPr>
        <w:pStyle w:val="Normal"/>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color w:val="000000"/>
          <w:kern w:val="0"/>
          <w:sz w:val="32"/>
          <w:szCs w:val="32"/>
          <w:shd w:fill="FFFFFF" w:val="clear"/>
        </w:rPr>
      </w:pPr>
      <w:r>
        <w:rPr>
          <w:rFonts w:ascii="仿宋_GB2312;仿宋" w:hAnsi="仿宋_GB2312;仿宋" w:cs="仿宋_GB2312;仿宋" w:hint="eastAsia" w:eastAsia="仿宋_GB2312;仿宋"/>
          <w:color w:val="000000"/>
          <w:kern w:val="0"/>
          <w:sz w:val="32"/>
          <w:szCs w:val="32"/>
          <w:shd w:fill="FFFFFF" w:val="clear"/>
        </w:rPr>
        <w:t>征收农用地的土地补偿费、安置补助费标准按照区片综合地价确定，区片综合地价由市（州）、县（市）人民政府组织制定，报省人民政府批准后，由市（州）、县（市）人民政府向社会公布。制定区片综合地价应当综合考虑土地原用途、土地资源条件、土地产值、土地区位、土地供求关系、人口以及经济社会发展水平等因素，并至少每三年调整或者重新公布一次。</w:t>
      </w:r>
    </w:p>
    <w:p>
      <w:pPr>
        <w:pStyle w:val="Normal"/>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color w:val="000000"/>
          <w:kern w:val="0"/>
          <w:sz w:val="32"/>
          <w:szCs w:val="32"/>
          <w:shd w:fill="FFFFFF" w:val="clear"/>
        </w:rPr>
      </w:pPr>
      <w:r>
        <w:rPr>
          <w:rFonts w:ascii="仿宋_GB2312;仿宋" w:hAnsi="仿宋_GB2312;仿宋" w:cs="仿宋_GB2312;仿宋" w:hint="eastAsia" w:eastAsia="仿宋_GB2312;仿宋"/>
          <w:color w:val="000000"/>
          <w:kern w:val="0"/>
          <w:sz w:val="32"/>
          <w:szCs w:val="32"/>
          <w:shd w:fill="FFFFFF" w:val="clear"/>
        </w:rPr>
        <w:t>征收农用地以外的其他土地、地上附着物和青苗等的补偿标准，由市（州）、县（市）人民政府根据经济社会发展水平和实际情况制定，报省人民政府批准后执行。</w:t>
      </w:r>
    </w:p>
    <w:p>
      <w:pPr>
        <w:pStyle w:val="Normal"/>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color w:val="000000"/>
          <w:kern w:val="0"/>
          <w:sz w:val="32"/>
          <w:szCs w:val="32"/>
          <w:shd w:fill="FFFFFF" w:val="clear"/>
        </w:rPr>
      </w:pPr>
      <w:r>
        <w:rPr>
          <w:rFonts w:ascii="黑体" w:hAnsi="黑体" w:cs="黑体" w:hint="eastAsia" w:eastAsia="黑体"/>
          <w:color w:val="000000"/>
          <w:sz w:val="32"/>
          <w:szCs w:val="32"/>
        </w:rPr>
        <w:t>第三十八条</w:t>
      </w:r>
      <w:r>
        <w:rPr>
          <w:rFonts w:ascii="仿宋" w:hAnsi="仿宋" w:cs="仿宋" w:hint="eastAsia" w:eastAsia="仿宋"/>
          <w:color w:val="000000"/>
          <w:sz w:val="32"/>
          <w:szCs w:val="32"/>
        </w:rPr>
        <w:t xml:space="preserve"> </w:t>
      </w:r>
      <w:r>
        <w:rPr>
          <w:rFonts w:ascii="仿宋_GB2312;仿宋" w:hAnsi="仿宋_GB2312;仿宋" w:cs="仿宋_GB2312;仿宋" w:hint="eastAsia" w:eastAsia="仿宋_GB2312;仿宋"/>
          <w:color w:val="000000"/>
          <w:kern w:val="0"/>
          <w:sz w:val="32"/>
          <w:szCs w:val="32"/>
          <w:shd w:fill="FFFFFF" w:val="clear"/>
        </w:rPr>
        <w:t>县级以上人民政府应当将被征地农民纳入相应的社会保障体系。</w:t>
      </w:r>
    </w:p>
    <w:p>
      <w:pPr>
        <w:pStyle w:val="Normal"/>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color w:val="000000"/>
          <w:kern w:val="0"/>
          <w:sz w:val="32"/>
          <w:szCs w:val="32"/>
          <w:shd w:fill="FFFFFF" w:val="clear"/>
        </w:rPr>
      </w:pPr>
      <w:r>
        <w:rPr>
          <w:rFonts w:ascii="仿宋_GB2312;仿宋" w:hAnsi="仿宋_GB2312;仿宋" w:cs="仿宋_GB2312;仿宋" w:hint="eastAsia" w:eastAsia="仿宋_GB2312;仿宋"/>
          <w:color w:val="000000"/>
          <w:kern w:val="0"/>
          <w:sz w:val="32"/>
          <w:szCs w:val="32"/>
          <w:shd w:fill="FFFFFF" w:val="clear"/>
        </w:rPr>
        <w:t>县级以上人民政府人力资源和社会保障、自然资源主管部门在征地报批时，应当审查被征地农民及其社会保障费用落实情况。未落实被征地农民社会保障费用的，不得批准征收土地。</w:t>
      </w:r>
    </w:p>
    <w:p>
      <w:pPr>
        <w:pStyle w:val="Normal"/>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color w:val="000000"/>
          <w:kern w:val="0"/>
          <w:sz w:val="32"/>
          <w:szCs w:val="32"/>
          <w:shd w:fill="FFFFFF" w:val="clear"/>
        </w:rPr>
      </w:pPr>
      <w:r>
        <w:rPr>
          <w:rFonts w:ascii="仿宋_GB2312;仿宋" w:hAnsi="仿宋_GB2312;仿宋" w:cs="仿宋_GB2312;仿宋" w:hint="eastAsia" w:eastAsia="仿宋_GB2312;仿宋"/>
          <w:color w:val="000000"/>
          <w:kern w:val="0"/>
          <w:sz w:val="32"/>
          <w:szCs w:val="32"/>
          <w:shd w:fill="FFFFFF" w:val="clear"/>
        </w:rPr>
        <w:t>被征地农民社会保障费用的筹集、管理和使用办法由省人民政府制定。</w:t>
      </w:r>
    </w:p>
    <w:p>
      <w:pPr>
        <w:pStyle w:val="Normal"/>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color w:val="000000"/>
          <w:kern w:val="0"/>
          <w:sz w:val="32"/>
          <w:szCs w:val="32"/>
          <w:shd w:fill="FFFFFF" w:val="clear"/>
        </w:rPr>
      </w:pPr>
      <w:r>
        <w:rPr>
          <w:rFonts w:ascii="黑体" w:hAnsi="黑体" w:cs="黑体" w:hint="eastAsia" w:eastAsia="黑体"/>
          <w:color w:val="000000"/>
          <w:sz w:val="32"/>
          <w:szCs w:val="32"/>
        </w:rPr>
        <w:t>第三十九条</w:t>
      </w:r>
      <w:r>
        <w:rPr>
          <w:rFonts w:ascii="仿宋" w:hAnsi="仿宋" w:cs="仿宋" w:hint="eastAsia" w:eastAsia="仿宋"/>
          <w:color w:val="000000"/>
          <w:sz w:val="32"/>
          <w:szCs w:val="32"/>
        </w:rPr>
        <w:t xml:space="preserve">  </w:t>
      </w:r>
      <w:r>
        <w:rPr>
          <w:rFonts w:ascii="仿宋_GB2312;仿宋" w:hAnsi="仿宋_GB2312;仿宋" w:cs="仿宋_GB2312;仿宋" w:hint="eastAsia" w:eastAsia="仿宋_GB2312;仿宋"/>
          <w:color w:val="000000"/>
          <w:kern w:val="0"/>
          <w:sz w:val="32"/>
          <w:szCs w:val="32"/>
          <w:shd w:fill="FFFFFF" w:val="clear"/>
        </w:rPr>
        <w:t>占用国有农、林、牧、渔场的国有农用地的土地补偿费以及地上附着物和青苗的补偿费，可以参照当地征收集体土地的相应标准执行。</w:t>
      </w:r>
    </w:p>
    <w:p>
      <w:pPr>
        <w:pStyle w:val="Heading1"/>
        <w:keepNext w:val="true"/>
        <w:keepLines/>
        <w:pageBreakBefore w:val="false"/>
        <w:widowControl w:val="false"/>
        <w:numPr>
          <w:ilvl w:val="0"/>
          <w:numId w:val="0"/>
        </w:numPr>
        <w:kinsoku w:val="true"/>
        <w:overflowPunct w:val="true"/>
        <w:autoSpaceDE w:val="true"/>
        <w:bidi w:val="0"/>
        <w:snapToGrid w:val="true"/>
        <w:spacing w:lineRule="exact" w:line="560" w:before="0" w:after="0"/>
        <w:ind w:firstLineChars="0" w:firstLine="0" w:startChars="0" w:start="0" w:endChars="0" w:end="0"/>
        <w:jc w:val="center"/>
        <w:textAlignment w:val="auto"/>
        <w:rPr>
          <w:rFonts w:ascii="黑体" w:hAnsi="黑体" w:eastAsia="黑体" w:cs="黑体" w:hint="eastAsia"/>
          <w:b w:val="false"/>
          <w:bCs w:val="false"/>
          <w:color w:val="000000"/>
          <w:kern w:val="0"/>
          <w:sz w:val="32"/>
          <w:szCs w:val="32"/>
          <w:shd w:fill="FFFFFF" w:val="clear"/>
        </w:rPr>
      </w:pPr>
      <w:r>
        <w:rPr>
          <w:rFonts w:eastAsia="黑体" w:cs="黑体" w:hint="eastAsia" w:ascii="黑体" w:hAnsi="黑体"/>
          <w:b w:val="false"/>
          <w:bCs w:val="false"/>
          <w:color w:val="000000"/>
          <w:kern w:val="0"/>
          <w:sz w:val="32"/>
          <w:szCs w:val="32"/>
          <w:shd w:fill="FFFFFF" w:val="clear"/>
        </w:rPr>
      </w:r>
    </w:p>
    <w:p>
      <w:pPr>
        <w:pStyle w:val="Heading1"/>
        <w:pageBreakBefore w:val="false"/>
        <w:numPr>
          <w:ilvl w:val="0"/>
          <w:numId w:val="0"/>
        </w:numPr>
        <w:kinsoku w:val="true"/>
        <w:overflowPunct w:val="true"/>
        <w:autoSpaceDE w:val="true"/>
        <w:bidi w:val="0"/>
        <w:spacing w:lineRule="exact" w:line="560" w:before="0" w:after="0"/>
        <w:ind w:hanging="0" w:start="0"/>
        <w:jc w:val="center"/>
        <w:textAlignment w:val="auto"/>
        <w:rPr>
          <w:rFonts w:ascii="黑体" w:hAnsi="黑体" w:eastAsia="黑体" w:cs="黑体" w:hint="eastAsia"/>
          <w:b w:val="false"/>
          <w:bCs w:val="false"/>
          <w:color w:val="000000"/>
          <w:sz w:val="32"/>
          <w:szCs w:val="32"/>
          <w:shd w:fill="FFFFFF" w:val="clear"/>
        </w:rPr>
      </w:pPr>
      <w:r>
        <w:rPr>
          <w:rFonts w:ascii="黑体" w:hAnsi="黑体" w:cs="黑体" w:hint="eastAsia" w:eastAsia="黑体"/>
          <w:b w:val="false"/>
          <w:bCs w:val="false"/>
          <w:color w:val="000000"/>
          <w:sz w:val="32"/>
          <w:szCs w:val="32"/>
          <w:shd w:fill="FFFFFF" w:val="clear"/>
        </w:rPr>
        <w:t>第五章  建设用地</w:t>
      </w:r>
    </w:p>
    <w:p>
      <w:pPr>
        <w:pStyle w:val="Normal"/>
        <w:pageBreakBefore w:val="false"/>
        <w:numPr>
          <w:ilvl w:val="0"/>
          <w:numId w:val="0"/>
        </w:numPr>
        <w:kinsoku w:val="true"/>
        <w:overflowPunct w:val="true"/>
        <w:autoSpaceDE w:val="true"/>
        <w:bidi w:val="0"/>
        <w:spacing w:lineRule="exact" w:line="560"/>
        <w:ind w:firstLineChars="0" w:firstLine="0" w:startChars="0" w:start="0" w:endChars="0" w:end="0"/>
        <w:textAlignment w:val="auto"/>
        <w:rPr>
          <w:rFonts w:ascii="黑体" w:hAnsi="黑体" w:eastAsia="黑体" w:cs="黑体" w:hint="eastAsia"/>
          <w:b w:val="false"/>
          <w:bCs w:val="false"/>
          <w:color w:val="000000"/>
          <w:sz w:val="32"/>
          <w:szCs w:val="32"/>
          <w:shd w:fill="FFFFFF" w:val="clear"/>
        </w:rPr>
      </w:pPr>
      <w:r>
        <w:rPr>
          <w:rFonts w:eastAsia="黑体" w:cs="黑体" w:hint="eastAsia" w:ascii="黑体" w:hAnsi="黑体"/>
          <w:b w:val="false"/>
          <w:bCs w:val="false"/>
          <w:color w:val="000000"/>
          <w:sz w:val="32"/>
          <w:szCs w:val="32"/>
          <w:shd w:fill="FFFFFF" w:val="clear"/>
        </w:rPr>
      </w:r>
    </w:p>
    <w:p>
      <w:pPr>
        <w:pStyle w:val="Normal"/>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color w:val="000000"/>
          <w:kern w:val="0"/>
          <w:sz w:val="32"/>
          <w:szCs w:val="32"/>
          <w:shd w:fill="FFFFFF" w:val="clear"/>
        </w:rPr>
      </w:pPr>
      <w:r>
        <w:rPr>
          <w:rFonts w:ascii="黑体" w:hAnsi="黑体" w:cs="黑体" w:hint="eastAsia" w:eastAsia="黑体"/>
          <w:color w:val="000000"/>
          <w:sz w:val="32"/>
          <w:szCs w:val="32"/>
        </w:rPr>
        <w:t xml:space="preserve">第四十条 </w:t>
      </w:r>
      <w:r>
        <w:rPr>
          <w:rFonts w:ascii="黑体" w:hAnsi="黑体" w:cs="黑体" w:hint="eastAsia" w:eastAsia="黑体"/>
          <w:b/>
          <w:bCs/>
          <w:color w:val="000000"/>
          <w:sz w:val="32"/>
          <w:szCs w:val="32"/>
        </w:rPr>
        <w:t xml:space="preserve"> </w:t>
      </w:r>
      <w:r>
        <w:rPr>
          <w:rFonts w:ascii="仿宋_GB2312;仿宋" w:hAnsi="仿宋_GB2312;仿宋" w:cs="仿宋_GB2312;仿宋" w:hint="eastAsia" w:eastAsia="仿宋_GB2312;仿宋"/>
          <w:color w:val="000000"/>
          <w:kern w:val="0"/>
          <w:sz w:val="32"/>
          <w:szCs w:val="32"/>
          <w:shd w:fill="FFFFFF" w:val="clear"/>
        </w:rPr>
        <w:t>建设项目需要使用土地的，应当符合国土空间规划、土地利用年度计划，落实土地用途管制以及节约资源、保护生态环境的要求，严格执行建设用地标准，优先使用存量建设用地，提高建设用地使用效率。</w:t>
      </w:r>
    </w:p>
    <w:p>
      <w:pPr>
        <w:pStyle w:val="Normal"/>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color w:val="000000"/>
          <w:kern w:val="0"/>
          <w:sz w:val="32"/>
          <w:szCs w:val="32"/>
          <w:shd w:fill="FFFFFF" w:val="clear"/>
        </w:rPr>
      </w:pPr>
      <w:r>
        <w:rPr>
          <w:rFonts w:ascii="仿宋_GB2312;仿宋" w:hAnsi="仿宋_GB2312;仿宋" w:cs="仿宋_GB2312;仿宋" w:hint="eastAsia" w:eastAsia="仿宋_GB2312;仿宋"/>
          <w:color w:val="000000"/>
          <w:kern w:val="0"/>
          <w:sz w:val="32"/>
          <w:szCs w:val="32"/>
          <w:shd w:fill="FFFFFF" w:val="clear"/>
        </w:rPr>
        <w:t>县级以上人民政府自然资源主管部门应当按照规定组织编制年度建设用地供应计划，对本地区年度建设用地供应的总量、结构、布局、时序和方式等做出科学安排。年度建设用地供应计划经本级人民政府批准后，按照规定向社会公开。</w:t>
      </w:r>
    </w:p>
    <w:p>
      <w:pPr>
        <w:pStyle w:val="Normal"/>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color w:val="000000"/>
          <w:kern w:val="0"/>
          <w:sz w:val="32"/>
          <w:szCs w:val="32"/>
          <w:shd w:fill="FFFFFF" w:val="clear"/>
        </w:rPr>
      </w:pPr>
      <w:r>
        <w:rPr>
          <w:rFonts w:ascii="黑体" w:hAnsi="黑体" w:cs="黑体" w:hint="eastAsia" w:eastAsia="黑体"/>
          <w:color w:val="000000"/>
          <w:sz w:val="32"/>
          <w:szCs w:val="32"/>
        </w:rPr>
        <w:t>第四十一条</w:t>
      </w:r>
      <w:r>
        <w:rPr>
          <w:rFonts w:ascii="仿宋" w:hAnsi="仿宋" w:cs="仿宋" w:hint="eastAsia" w:eastAsia="仿宋"/>
          <w:color w:val="000000"/>
          <w:sz w:val="32"/>
          <w:szCs w:val="32"/>
        </w:rPr>
        <w:t xml:space="preserve"> </w:t>
      </w:r>
      <w:r>
        <w:rPr>
          <w:rFonts w:ascii="仿宋_GB2312;仿宋" w:hAnsi="仿宋_GB2312;仿宋" w:cs="仿宋_GB2312;仿宋" w:hint="eastAsia" w:eastAsia="仿宋_GB2312;仿宋"/>
          <w:color w:val="000000"/>
          <w:sz w:val="32"/>
          <w:szCs w:val="32"/>
        </w:rPr>
        <w:t xml:space="preserve"> </w:t>
      </w:r>
      <w:r>
        <w:rPr>
          <w:rFonts w:ascii="仿宋_GB2312;仿宋" w:hAnsi="仿宋_GB2312;仿宋" w:cs="仿宋_GB2312;仿宋" w:hint="eastAsia" w:eastAsia="仿宋_GB2312;仿宋"/>
          <w:color w:val="000000"/>
          <w:kern w:val="0"/>
          <w:sz w:val="32"/>
          <w:szCs w:val="32"/>
          <w:shd w:fill="FFFFFF" w:val="clear"/>
        </w:rPr>
        <w:t>除法律、行政法规规定以划拨方式取得建设用地的，建设单位使用国有土地，应当以出让、租赁、作价出资或者入股等有偿使用方式取得。</w:t>
      </w:r>
    </w:p>
    <w:p>
      <w:pPr>
        <w:pStyle w:val="Normal"/>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color w:val="000000"/>
          <w:kern w:val="0"/>
          <w:sz w:val="32"/>
          <w:szCs w:val="32"/>
          <w:shd w:fill="FFFFFF" w:val="clear"/>
        </w:rPr>
      </w:pPr>
      <w:r>
        <w:rPr>
          <w:rFonts w:ascii="仿宋_GB2312;仿宋" w:hAnsi="仿宋_GB2312;仿宋" w:cs="仿宋_GB2312;仿宋" w:hint="eastAsia" w:eastAsia="仿宋_GB2312;仿宋"/>
          <w:color w:val="000000"/>
          <w:kern w:val="0"/>
          <w:sz w:val="32"/>
          <w:szCs w:val="32"/>
          <w:shd w:fill="FFFFFF" w:val="clear"/>
        </w:rPr>
        <w:t>国有建设用地使用权出让由县级以上人民政府统一组织，自然资源主管部门会同有关部门拟定方案，经同级人民政府批准后，自然资源主管部门负责具体实施，依法采用招标、拍卖、挂牌等竞争性方式或者协议方式进行。工业、商业、旅游、娱乐和商品住宅等经营性用地以及同一宗土地有两个以上意向用地者的，应当依法采用招标、拍卖或者挂牌的方式出让。</w:t>
      </w:r>
    </w:p>
    <w:p>
      <w:pPr>
        <w:pStyle w:val="Normal"/>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color w:val="000000"/>
          <w:kern w:val="0"/>
          <w:sz w:val="32"/>
          <w:szCs w:val="32"/>
          <w:shd w:fill="FFFFFF" w:val="clear"/>
        </w:rPr>
      </w:pPr>
      <w:r>
        <w:rPr>
          <w:rFonts w:ascii="仿宋_GB2312;仿宋" w:hAnsi="仿宋_GB2312;仿宋" w:cs="仿宋_GB2312;仿宋" w:hint="eastAsia" w:eastAsia="仿宋_GB2312;仿宋"/>
          <w:color w:val="000000"/>
          <w:kern w:val="0"/>
          <w:sz w:val="32"/>
          <w:szCs w:val="32"/>
          <w:shd w:fill="FFFFFF" w:val="clear"/>
        </w:rPr>
        <w:t>国有土地租赁，参照国有建设用地使用权出让程序，由县级以上人民政府通过招标、拍卖、挂牌等竞争性方式或者协议方式确定承租人，签订国有土地租赁合同。</w:t>
      </w:r>
    </w:p>
    <w:p>
      <w:pPr>
        <w:pStyle w:val="Normal"/>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color w:val="000000"/>
          <w:kern w:val="0"/>
          <w:sz w:val="32"/>
          <w:szCs w:val="32"/>
          <w:shd w:fill="FFFFFF" w:val="clear"/>
        </w:rPr>
      </w:pPr>
      <w:r>
        <w:rPr>
          <w:rFonts w:ascii="仿宋_GB2312;仿宋" w:hAnsi="仿宋_GB2312;仿宋" w:cs="仿宋_GB2312;仿宋" w:hint="eastAsia" w:eastAsia="仿宋_GB2312;仿宋"/>
          <w:color w:val="000000"/>
          <w:kern w:val="0"/>
          <w:sz w:val="32"/>
          <w:szCs w:val="32"/>
          <w:shd w:fill="FFFFFF" w:val="clear"/>
        </w:rPr>
        <w:t>国有建设用地使用权作价出资或者入股，应当持有关批准文件按照规定办理出资或者入股手续。</w:t>
      </w:r>
    </w:p>
    <w:p>
      <w:pPr>
        <w:pStyle w:val="Normal"/>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第四十二条</w:t>
      </w:r>
      <w:r>
        <w:rPr>
          <w:rFonts w:ascii="黑体" w:hAnsi="黑体" w:cs="黑体" w:eastAsia="黑体"/>
          <w:color w:val="000000"/>
          <w:sz w:val="32"/>
          <w:szCs w:val="32"/>
        </w:rPr>
        <w:t xml:space="preserve"> </w:t>
      </w:r>
      <w:r>
        <w:rPr>
          <w:rFonts w:ascii="黑体" w:hAnsi="黑体" w:cs="黑体" w:hint="eastAsia" w:eastAsia="黑体"/>
          <w:color w:val="000000"/>
          <w:sz w:val="32"/>
          <w:szCs w:val="32"/>
        </w:rPr>
        <w:t xml:space="preserve"> </w:t>
      </w:r>
      <w:r>
        <w:rPr>
          <w:rFonts w:ascii="仿宋_GB2312;仿宋" w:hAnsi="仿宋_GB2312;仿宋" w:cs="仿宋_GB2312;仿宋" w:hint="eastAsia" w:eastAsia="仿宋_GB2312;仿宋"/>
          <w:color w:val="000000"/>
          <w:kern w:val="0"/>
          <w:sz w:val="32"/>
          <w:szCs w:val="32"/>
          <w:shd w:fill="FFFFFF" w:val="clear"/>
        </w:rPr>
        <w:t>县级以上人民政府可以根据国家规定编制土地储备规划和计划，实施土地储备。</w:t>
      </w:r>
    </w:p>
    <w:p>
      <w:pPr>
        <w:pStyle w:val="Normal"/>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color w:val="000000"/>
          <w:kern w:val="0"/>
          <w:sz w:val="32"/>
          <w:szCs w:val="32"/>
          <w:shd w:fill="FFFFFF" w:val="clear"/>
        </w:rPr>
      </w:pPr>
      <w:r>
        <w:rPr>
          <w:rFonts w:ascii="黑体" w:hAnsi="黑体" w:cs="黑体" w:hint="eastAsia" w:eastAsia="黑体"/>
          <w:color w:val="000000"/>
          <w:sz w:val="32"/>
          <w:szCs w:val="32"/>
        </w:rPr>
        <w:t>第四十三条</w:t>
      </w:r>
      <w:r>
        <w:rPr>
          <w:rFonts w:ascii="仿宋" w:hAnsi="仿宋" w:cs="仿宋" w:hint="eastAsia" w:eastAsia="仿宋"/>
          <w:color w:val="000000"/>
          <w:sz w:val="32"/>
          <w:szCs w:val="32"/>
        </w:rPr>
        <w:t xml:space="preserve">  </w:t>
      </w:r>
      <w:r>
        <w:rPr>
          <w:rFonts w:ascii="仿宋_GB2312;仿宋" w:hAnsi="仿宋_GB2312;仿宋" w:cs="仿宋_GB2312;仿宋" w:hint="eastAsia" w:eastAsia="仿宋_GB2312;仿宋"/>
          <w:color w:val="000000"/>
          <w:kern w:val="0"/>
          <w:sz w:val="32"/>
          <w:szCs w:val="32"/>
          <w:shd w:fill="FFFFFF" w:val="clear"/>
        </w:rPr>
        <w:t>已经办理审批手续的非农业建设占用耕地，一年内不用而又可以耕种并收获的，应当由原耕种该幅耕地的集体或者个人恢复耕种，也可以由用地单位组织耕种；一年以上未动工建设的，应当缴纳土地闲置费；连续二年未使用的，经原批准机关批准，由县级以上人民政府无偿收回用地单位的土地使用权；该幅土地原为农民集体所有的，应当交由原农村集体经济组织恢复耕种。</w:t>
      </w:r>
    </w:p>
    <w:p>
      <w:pPr>
        <w:pStyle w:val="Style14"/>
        <w:pageBreakBefore w:val="false"/>
        <w:widowControl/>
        <w:shd w:fill="FFFFFF" w:val="clear"/>
        <w:kinsoku w:val="true"/>
        <w:overflowPunct w:val="true"/>
        <w:autoSpaceDE w:val="true"/>
        <w:bidi w:val="0"/>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shd w:fill="FFFFFF" w:val="clear"/>
        </w:rPr>
      </w:pPr>
      <w:r>
        <w:rPr>
          <w:rFonts w:ascii="仿宋_GB2312;仿宋" w:hAnsi="仿宋_GB2312;仿宋" w:cs="仿宋_GB2312;仿宋" w:hint="eastAsia" w:eastAsia="仿宋_GB2312;仿宋"/>
          <w:color w:val="000000"/>
          <w:kern w:val="0"/>
          <w:sz w:val="32"/>
          <w:szCs w:val="32"/>
          <w:shd w:fill="FFFFFF" w:val="clear"/>
        </w:rPr>
        <w:t>土地闲置费的缴纳标准由省人民政府组织发展和改革、财政、自然资源等有关部门制定，并根据经济社会发展情况适时调整。</w:t>
      </w:r>
    </w:p>
    <w:p>
      <w:pPr>
        <w:pStyle w:val="Normal"/>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color w:val="000000"/>
          <w:kern w:val="0"/>
          <w:sz w:val="32"/>
          <w:szCs w:val="32"/>
          <w:shd w:fill="FFFFFF" w:val="clear"/>
        </w:rPr>
      </w:pPr>
      <w:r>
        <w:rPr>
          <w:rFonts w:ascii="仿宋_GB2312;仿宋" w:hAnsi="仿宋_GB2312;仿宋" w:cs="仿宋_GB2312;仿宋" w:hint="eastAsia" w:eastAsia="仿宋_GB2312;仿宋"/>
          <w:color w:val="000000"/>
          <w:kern w:val="0"/>
          <w:sz w:val="32"/>
          <w:szCs w:val="32"/>
          <w:shd w:fill="FFFFFF" w:val="clear"/>
        </w:rPr>
        <w:t>在城市规划区范围内，以出让方式取得土地使用权进行房地产开发的闲置土地，按照《中华人民共和国城市房地产管理法》的有关规定办理。</w:t>
      </w:r>
    </w:p>
    <w:p>
      <w:pPr>
        <w:pStyle w:val="Normal"/>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color w:val="000000"/>
          <w:kern w:val="0"/>
          <w:sz w:val="32"/>
          <w:szCs w:val="32"/>
          <w:shd w:fill="FFFFFF" w:val="clear"/>
        </w:rPr>
      </w:pPr>
      <w:r>
        <w:rPr>
          <w:rFonts w:ascii="仿宋_GB2312;仿宋" w:hAnsi="仿宋_GB2312;仿宋" w:cs="仿宋_GB2312;仿宋" w:hint="eastAsia" w:eastAsia="仿宋_GB2312;仿宋"/>
          <w:color w:val="000000"/>
          <w:kern w:val="0"/>
          <w:sz w:val="32"/>
          <w:szCs w:val="32"/>
          <w:shd w:fill="FFFFFF" w:val="clear"/>
        </w:rPr>
        <w:t>省人民政府自然资源主管部门可以根据情况，对闲置土地情况严重的市（州）、县（市），在国土空间规划、土地利用年度计划、建设用地审批、土地供应等方面采取措施，限制新增建设用地，促进闲置土地的开发利用。</w:t>
      </w:r>
    </w:p>
    <w:p>
      <w:pPr>
        <w:pStyle w:val="Normal"/>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color w:val="000000"/>
          <w:kern w:val="0"/>
          <w:sz w:val="32"/>
          <w:szCs w:val="32"/>
          <w:shd w:fill="FFFFFF" w:val="clear"/>
        </w:rPr>
      </w:pPr>
      <w:r>
        <w:rPr>
          <w:rFonts w:ascii="黑体" w:hAnsi="黑体" w:cs="黑体" w:hint="eastAsia" w:eastAsia="黑体"/>
          <w:color w:val="000000"/>
          <w:sz w:val="32"/>
          <w:szCs w:val="32"/>
        </w:rPr>
        <w:t xml:space="preserve">第四十四条  </w:t>
      </w:r>
      <w:r>
        <w:rPr>
          <w:rFonts w:ascii="仿宋_GB2312;仿宋" w:hAnsi="仿宋_GB2312;仿宋" w:cs="仿宋_GB2312;仿宋" w:hint="eastAsia" w:eastAsia="仿宋_GB2312;仿宋"/>
          <w:color w:val="000000"/>
          <w:kern w:val="0"/>
          <w:sz w:val="32"/>
          <w:szCs w:val="32"/>
          <w:shd w:fill="FFFFFF" w:val="clear"/>
        </w:rPr>
        <w:t>建设项目施工、地质勘查需要临时使用土地的，应当尽量不占或者少占耕地，由市（州）、县（市）人民政府自然资源主管部门批准；其中占用耕地的，由市（州）人民政府自然资源主管部门批准。使用国有土地的，应当与自然资源主管部门签订临时使用土地合同；使用农民集体所有土地的，应当与农村集体经济组织或者村民委员会签订临时使用土地合同；并按照合同约定支付临时使用土地补偿费。</w:t>
      </w:r>
    </w:p>
    <w:p>
      <w:pPr>
        <w:pStyle w:val="Style14"/>
        <w:pageBreakBefore w:val="false"/>
        <w:widowControl/>
        <w:shd w:fill="FFFFFF" w:val="clear"/>
        <w:kinsoku w:val="true"/>
        <w:overflowPunct w:val="true"/>
        <w:autoSpaceDE w:val="true"/>
        <w:bidi w:val="0"/>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shd w:fill="FFFFFF" w:val="clear"/>
        </w:rPr>
      </w:pPr>
      <w:r>
        <w:rPr>
          <w:rFonts w:ascii="仿宋_GB2312;仿宋" w:hAnsi="仿宋_GB2312;仿宋" w:cs="仿宋_GB2312;仿宋" w:hint="eastAsia" w:eastAsia="仿宋_GB2312;仿宋"/>
          <w:color w:val="000000"/>
          <w:kern w:val="0"/>
          <w:sz w:val="32"/>
          <w:szCs w:val="32"/>
          <w:shd w:fill="FFFFFF" w:val="clear"/>
        </w:rPr>
        <w:t>土地使用者应当按照临时使用土地合同约定的用途使用土地，不得修建永久性建（构）筑物。临时使用土地期限届满之日起一年内，使用者应当按照规定完成土地复垦，使其达到可供利用状态。其中占用耕地的，应当恢复种植条件。</w:t>
      </w:r>
    </w:p>
    <w:p>
      <w:pPr>
        <w:pStyle w:val="Normal"/>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color w:val="000000"/>
          <w:kern w:val="0"/>
          <w:sz w:val="32"/>
          <w:szCs w:val="32"/>
          <w:shd w:fill="FFFFFF" w:val="clear"/>
        </w:rPr>
      </w:pPr>
      <w:r>
        <w:rPr>
          <w:rFonts w:ascii="仿宋_GB2312;仿宋" w:hAnsi="仿宋_GB2312;仿宋" w:cs="仿宋_GB2312;仿宋" w:hint="eastAsia" w:eastAsia="仿宋_GB2312;仿宋"/>
          <w:color w:val="000000"/>
          <w:kern w:val="0"/>
          <w:sz w:val="32"/>
          <w:szCs w:val="32"/>
          <w:shd w:fill="FFFFFF" w:val="clear"/>
        </w:rPr>
        <w:t>临时使用土地期限一般不超过二年。建设周期较长的交通、水利、能源等基础设施建设使用的临时用地，期限不超过四年。但是法律、行政法规另有规定的除外。</w:t>
      </w:r>
    </w:p>
    <w:p>
      <w:pPr>
        <w:pStyle w:val="Normal"/>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color w:val="000000"/>
          <w:kern w:val="0"/>
          <w:sz w:val="32"/>
          <w:szCs w:val="32"/>
          <w:shd w:fill="FFFFFF" w:val="clear"/>
        </w:rPr>
      </w:pPr>
      <w:r>
        <w:rPr>
          <w:rFonts w:ascii="黑体" w:hAnsi="黑体" w:cs="黑体" w:hint="eastAsia" w:eastAsia="黑体"/>
          <w:color w:val="000000"/>
          <w:sz w:val="32"/>
          <w:szCs w:val="32"/>
        </w:rPr>
        <w:t>第四十五条</w:t>
      </w:r>
      <w:r>
        <w:rPr>
          <w:rFonts w:ascii="仿宋" w:hAnsi="仿宋" w:cs="仿宋" w:hint="eastAsia" w:eastAsia="仿宋"/>
          <w:color w:val="000000"/>
          <w:sz w:val="32"/>
          <w:szCs w:val="32"/>
        </w:rPr>
        <w:t xml:space="preserve">  </w:t>
      </w:r>
      <w:r>
        <w:rPr>
          <w:rFonts w:ascii="仿宋_GB2312;仿宋" w:hAnsi="仿宋_GB2312;仿宋" w:cs="仿宋_GB2312;仿宋" w:hint="eastAsia" w:eastAsia="仿宋_GB2312;仿宋"/>
          <w:color w:val="000000"/>
          <w:kern w:val="0"/>
          <w:sz w:val="32"/>
          <w:szCs w:val="32"/>
          <w:shd w:fill="FFFFFF" w:val="clear"/>
        </w:rPr>
        <w:t>鼓励合理利用地下空间。开发利用地下空间，应当符合国土空间规划要求。</w:t>
      </w:r>
    </w:p>
    <w:p>
      <w:pPr>
        <w:pStyle w:val="Normal"/>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color w:val="000000"/>
          <w:kern w:val="0"/>
          <w:sz w:val="32"/>
          <w:szCs w:val="32"/>
          <w:shd w:fill="FFFFFF" w:val="clear"/>
        </w:rPr>
      </w:pPr>
      <w:r>
        <w:rPr>
          <w:rFonts w:ascii="仿宋_GB2312;仿宋" w:hAnsi="仿宋_GB2312;仿宋" w:cs="仿宋_GB2312;仿宋" w:hint="eastAsia" w:eastAsia="仿宋_GB2312;仿宋"/>
          <w:color w:val="000000"/>
          <w:kern w:val="0"/>
          <w:sz w:val="32"/>
          <w:szCs w:val="32"/>
          <w:shd w:fill="FFFFFF" w:val="clear"/>
        </w:rPr>
        <w:t>建设用地地下空间使用权的取得方式和使用年限，参照地表上同类用途国有建设用地使用权的相关规定执行。</w:t>
      </w:r>
    </w:p>
    <w:p>
      <w:pPr>
        <w:pStyle w:val="Normal"/>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color w:val="000000"/>
          <w:kern w:val="0"/>
          <w:sz w:val="32"/>
          <w:szCs w:val="32"/>
          <w:shd w:fill="FFFFFF" w:val="clear"/>
        </w:rPr>
      </w:pPr>
      <w:r>
        <w:rPr>
          <w:rFonts w:ascii="仿宋_GB2312;仿宋" w:hAnsi="仿宋_GB2312;仿宋" w:cs="仿宋_GB2312;仿宋" w:hint="eastAsia" w:eastAsia="仿宋_GB2312;仿宋"/>
          <w:color w:val="000000"/>
          <w:kern w:val="0"/>
          <w:sz w:val="32"/>
          <w:szCs w:val="32"/>
          <w:shd w:fill="FFFFFF" w:val="clear"/>
        </w:rPr>
        <w:t>使用地下空间提供公共服务的，同等条件下可以优先取得地下空间建设用地使用权。</w:t>
      </w:r>
    </w:p>
    <w:p>
      <w:pPr>
        <w:pStyle w:val="Normal"/>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color w:val="000000"/>
          <w:kern w:val="0"/>
          <w:sz w:val="32"/>
          <w:szCs w:val="32"/>
          <w:shd w:fill="FFFFFF" w:val="clear"/>
        </w:rPr>
      </w:pPr>
      <w:r>
        <w:rPr>
          <w:rFonts w:ascii="黑体" w:hAnsi="黑体" w:cs="黑体" w:hint="eastAsia" w:eastAsia="黑体"/>
          <w:color w:val="000000"/>
          <w:sz w:val="32"/>
          <w:szCs w:val="32"/>
        </w:rPr>
        <w:t>第四十六条</w:t>
      </w:r>
      <w:r>
        <w:rPr>
          <w:rFonts w:ascii="仿宋" w:hAnsi="仿宋" w:cs="仿宋" w:hint="eastAsia" w:eastAsia="仿宋"/>
          <w:color w:val="000000"/>
          <w:sz w:val="32"/>
          <w:szCs w:val="32"/>
        </w:rPr>
        <w:t xml:space="preserve">  </w:t>
      </w:r>
      <w:r>
        <w:rPr>
          <w:rFonts w:ascii="仿宋_GB2312;仿宋" w:hAnsi="仿宋_GB2312;仿宋" w:cs="仿宋_GB2312;仿宋" w:hint="eastAsia" w:eastAsia="仿宋_GB2312;仿宋"/>
          <w:color w:val="000000"/>
          <w:kern w:val="0"/>
          <w:sz w:val="32"/>
          <w:szCs w:val="32"/>
          <w:shd w:fill="FFFFFF" w:val="clear"/>
        </w:rPr>
        <w:t>农村村民建造住宅应当符合乡（镇）国土空间规划和村庄规划</w:t>
      </w:r>
      <w:r>
        <w:rPr>
          <w:rFonts w:eastAsia="仿宋_GB2312;仿宋" w:cs="仿宋_GB2312;仿宋" w:hint="eastAsia" w:ascii="仿宋_GB2312;仿宋" w:hAnsi="仿宋_GB2312;仿宋"/>
          <w:color w:val="000000"/>
          <w:kern w:val="0"/>
          <w:sz w:val="32"/>
          <w:szCs w:val="32"/>
          <w:shd w:fill="FFFFFF" w:val="clear"/>
        </w:rPr>
        <w:t>,</w:t>
      </w:r>
      <w:r>
        <w:rPr>
          <w:rFonts w:ascii="仿宋_GB2312;仿宋" w:hAnsi="仿宋_GB2312;仿宋" w:cs="仿宋_GB2312;仿宋" w:hint="eastAsia" w:eastAsia="仿宋_GB2312;仿宋"/>
          <w:color w:val="000000"/>
          <w:kern w:val="0"/>
          <w:sz w:val="32"/>
          <w:szCs w:val="32"/>
          <w:shd w:fill="FFFFFF" w:val="clear"/>
        </w:rPr>
        <w:t>不得占用永久基本农田，并尽量使用原有的宅基地、村内空闲地等。</w:t>
      </w:r>
    </w:p>
    <w:p>
      <w:pPr>
        <w:pStyle w:val="Normal"/>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color w:val="000000"/>
          <w:kern w:val="0"/>
          <w:sz w:val="32"/>
          <w:szCs w:val="32"/>
          <w:shd w:fill="FFFFFF" w:val="clear"/>
        </w:rPr>
      </w:pPr>
      <w:r>
        <w:rPr>
          <w:rFonts w:ascii="仿宋_GB2312;仿宋" w:hAnsi="仿宋_GB2312;仿宋" w:cs="仿宋_GB2312;仿宋" w:hint="eastAsia" w:eastAsia="仿宋_GB2312;仿宋"/>
          <w:color w:val="000000"/>
          <w:kern w:val="0"/>
          <w:sz w:val="32"/>
          <w:szCs w:val="32"/>
          <w:shd w:fill="FFFFFF" w:val="clear"/>
        </w:rPr>
        <w:t>农村村民一户只能拥有一处宅基地。宅基地面积由省人民政府确定。</w:t>
      </w:r>
    </w:p>
    <w:p>
      <w:pPr>
        <w:pStyle w:val="Normal"/>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color w:val="000000"/>
          <w:kern w:val="0"/>
          <w:sz w:val="32"/>
          <w:szCs w:val="32"/>
          <w:shd w:fill="FFFFFF" w:val="clear"/>
        </w:rPr>
      </w:pPr>
      <w:r>
        <w:rPr>
          <w:rFonts w:ascii="仿宋_GB2312;仿宋" w:hAnsi="仿宋_GB2312;仿宋" w:cs="仿宋_GB2312;仿宋" w:hint="eastAsia" w:eastAsia="仿宋_GB2312;仿宋"/>
          <w:color w:val="000000"/>
          <w:kern w:val="0"/>
          <w:sz w:val="32"/>
          <w:szCs w:val="32"/>
          <w:shd w:fill="FFFFFF" w:val="clear"/>
        </w:rPr>
        <w:t>人均土地少、不能保障一户拥有一处宅基地的地区，在充分尊重农民意愿的基础上，县级人民政府可以通过集体建房、鼓励符合宅基地取得条件的农村村民合建住房等方式，保障农村村民实现户有所居。</w:t>
      </w:r>
    </w:p>
    <w:p>
      <w:pPr>
        <w:pStyle w:val="2"/>
        <w:ind w:firstLineChars="0" w:firstLine="0" w:startChars="0" w:start="0" w:endChars="0" w:end="0"/>
        <w:rPr>
          <w:rFonts w:ascii="仿宋_GB2312;仿宋" w:hAnsi="仿宋_GB2312;仿宋" w:eastAsia="仿宋_GB2312;仿宋" w:cs="仿宋_GB2312;仿宋" w:hint="eastAsia"/>
          <w:color w:val="000000"/>
          <w:kern w:val="0"/>
          <w:sz w:val="32"/>
          <w:szCs w:val="32"/>
          <w:shd w:fill="FFFFFF" w:val="clear"/>
          <w:lang w:bidi="ar-SA"/>
        </w:rPr>
      </w:pPr>
      <w:r>
        <w:rPr>
          <w:rFonts w:eastAsia="仿宋_GB2312;仿宋" w:cs="仿宋_GB2312;仿宋" w:hint="eastAsia" w:ascii="仿宋_GB2312;仿宋" w:hAnsi="仿宋_GB2312;仿宋"/>
          <w:color w:val="000000"/>
          <w:sz w:val="32"/>
          <w:szCs w:val="32"/>
        </w:rPr>
        <w:t xml:space="preserve">   </w:t>
      </w:r>
      <w:r>
        <w:rPr>
          <w:rFonts w:ascii="黑体" w:hAnsi="黑体" w:cs="黑体" w:hint="eastAsia" w:eastAsia="黑体"/>
          <w:color w:val="000000"/>
          <w:sz w:val="32"/>
          <w:szCs w:val="32"/>
        </w:rPr>
        <w:t>第四十七条</w:t>
      </w:r>
      <w:r>
        <w:rPr>
          <w:rFonts w:ascii="仿宋" w:hAnsi="仿宋" w:cs="仿宋" w:hint="eastAsia" w:eastAsia="仿宋"/>
          <w:color w:val="000000"/>
          <w:sz w:val="32"/>
          <w:szCs w:val="32"/>
        </w:rPr>
        <w:t xml:space="preserve">  </w:t>
      </w:r>
      <w:r>
        <w:rPr>
          <w:rFonts w:ascii="仿宋_GB2312;仿宋" w:hAnsi="仿宋_GB2312;仿宋" w:cs="仿宋_GB2312;仿宋" w:hint="eastAsia" w:eastAsia="仿宋_GB2312;仿宋"/>
          <w:color w:val="000000"/>
          <w:kern w:val="0"/>
          <w:sz w:val="32"/>
          <w:szCs w:val="32"/>
          <w:shd w:fill="FFFFFF" w:val="clear"/>
          <w:lang w:bidi="ar-SA"/>
        </w:rPr>
        <w:t>农村村民申请宅基地的，应当以户为单位向农村集体经济组织提出申请；没有设立农村集体经济组织的，应当向所在的村民小组或者村民委员会提出申请。宅基地申请依法经农村村民集体讨论通过并在本集体范围内公示后，报乡（镇）人民政府审核批准，由乡（镇）人民政府向县级人民政府农业农村、自然资源主管部门备案。</w:t>
      </w:r>
    </w:p>
    <w:p>
      <w:pPr>
        <w:pStyle w:val="Normal"/>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color w:val="000000"/>
          <w:kern w:val="0"/>
          <w:sz w:val="32"/>
          <w:szCs w:val="32"/>
          <w:shd w:fill="FFFFFF" w:val="clear"/>
        </w:rPr>
      </w:pPr>
      <w:r>
        <w:rPr>
          <w:rFonts w:ascii="仿宋_GB2312;仿宋" w:hAnsi="仿宋_GB2312;仿宋" w:cs="仿宋_GB2312;仿宋" w:hint="eastAsia" w:eastAsia="仿宋_GB2312;仿宋"/>
          <w:color w:val="000000"/>
          <w:kern w:val="0"/>
          <w:sz w:val="32"/>
          <w:szCs w:val="32"/>
          <w:shd w:fill="FFFFFF" w:val="clear"/>
        </w:rPr>
        <w:t>涉及农用地转为建设用地的，应当依法办理农用地转用审批手续。</w:t>
      </w:r>
    </w:p>
    <w:p>
      <w:pPr>
        <w:pStyle w:val="Normal"/>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color w:val="000000"/>
          <w:kern w:val="0"/>
          <w:sz w:val="32"/>
          <w:szCs w:val="32"/>
          <w:shd w:fill="FFFFFF" w:val="clear"/>
        </w:rPr>
      </w:pPr>
      <w:r>
        <w:rPr>
          <w:rFonts w:ascii="黑体" w:hAnsi="黑体" w:cs="黑体" w:hint="eastAsia" w:eastAsia="黑体"/>
          <w:color w:val="000000"/>
          <w:sz w:val="32"/>
          <w:szCs w:val="32"/>
        </w:rPr>
        <w:t xml:space="preserve">第四十八条  </w:t>
      </w:r>
      <w:r>
        <w:rPr>
          <w:rFonts w:ascii="仿宋_GB2312;仿宋" w:hAnsi="仿宋_GB2312;仿宋" w:cs="仿宋_GB2312;仿宋" w:hint="eastAsia" w:eastAsia="仿宋_GB2312;仿宋"/>
          <w:color w:val="000000"/>
          <w:kern w:val="0"/>
          <w:sz w:val="32"/>
          <w:szCs w:val="32"/>
          <w:shd w:fill="FFFFFF" w:val="clear"/>
        </w:rPr>
        <w:t>允许进城落户的农村村民依法自愿有偿退出宅基地。鼓励有条件地区优先为自愿退出宅基地的村民提供保障性住房。禁止以退出宅基地作为农村村民进城落户的条件。</w:t>
      </w:r>
    </w:p>
    <w:p>
      <w:pPr>
        <w:pStyle w:val="Normal"/>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color w:val="000000"/>
          <w:kern w:val="0"/>
          <w:sz w:val="32"/>
          <w:szCs w:val="32"/>
          <w:shd w:fill="FFFFFF" w:val="clear"/>
        </w:rPr>
      </w:pPr>
      <w:r>
        <w:rPr>
          <w:rFonts w:ascii="仿宋_GB2312;仿宋" w:hAnsi="仿宋_GB2312;仿宋" w:cs="仿宋_GB2312;仿宋" w:hint="eastAsia" w:eastAsia="仿宋_GB2312;仿宋"/>
          <w:color w:val="000000"/>
          <w:kern w:val="0"/>
          <w:sz w:val="32"/>
          <w:szCs w:val="32"/>
          <w:shd w:fill="FFFFFF" w:val="clear"/>
        </w:rPr>
        <w:t>退出的宅基地优先用于保障该农村集体经济组织成员的宅基地需求。在符合国土空间规划的前提下，鼓励农村集体经济组织及其成员盘活利用闲置宅基地和闲置住宅，发展壮大农村经济。</w:t>
      </w:r>
    </w:p>
    <w:p>
      <w:pPr>
        <w:pStyle w:val="Normal"/>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color w:val="000000"/>
          <w:kern w:val="0"/>
          <w:sz w:val="32"/>
          <w:szCs w:val="32"/>
          <w:shd w:fill="FFFFFF" w:val="clear"/>
        </w:rPr>
      </w:pPr>
      <w:r>
        <w:rPr>
          <w:rFonts w:ascii="黑体" w:hAnsi="黑体" w:cs="黑体" w:hint="eastAsia" w:eastAsia="黑体"/>
          <w:color w:val="000000"/>
          <w:sz w:val="32"/>
          <w:szCs w:val="32"/>
        </w:rPr>
        <w:t xml:space="preserve">第四十九条  </w:t>
      </w:r>
      <w:r>
        <w:rPr>
          <w:rFonts w:ascii="仿宋_GB2312;仿宋" w:hAnsi="仿宋_GB2312;仿宋" w:cs="仿宋_GB2312;仿宋" w:hint="eastAsia" w:eastAsia="仿宋_GB2312;仿宋"/>
          <w:color w:val="000000"/>
          <w:kern w:val="0"/>
          <w:sz w:val="32"/>
          <w:szCs w:val="32"/>
          <w:shd w:fill="FFFFFF" w:val="clear"/>
        </w:rPr>
        <w:t>农村宅基地管理的具体办法由省人民政府组织农业农村、自然资源主管部门制定。</w:t>
      </w:r>
    </w:p>
    <w:p>
      <w:pPr>
        <w:pStyle w:val="Normal"/>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color w:val="000000"/>
          <w:kern w:val="0"/>
          <w:sz w:val="32"/>
          <w:szCs w:val="32"/>
          <w:shd w:fill="FFFFFF" w:val="clear"/>
        </w:rPr>
      </w:pPr>
      <w:r>
        <w:rPr>
          <w:rFonts w:ascii="黑体" w:hAnsi="黑体" w:cs="黑体" w:hint="eastAsia" w:eastAsia="黑体"/>
          <w:color w:val="000000"/>
          <w:sz w:val="32"/>
          <w:szCs w:val="32"/>
        </w:rPr>
        <w:t>第五十条</w:t>
      </w:r>
      <w:r>
        <w:rPr>
          <w:rFonts w:ascii="仿宋" w:hAnsi="仿宋" w:cs="仿宋" w:hint="eastAsia" w:eastAsia="仿宋"/>
          <w:color w:val="000000"/>
          <w:sz w:val="32"/>
          <w:szCs w:val="32"/>
        </w:rPr>
        <w:t xml:space="preserve">  </w:t>
      </w:r>
      <w:r>
        <w:rPr>
          <w:rFonts w:ascii="仿宋_GB2312;仿宋" w:hAnsi="仿宋_GB2312;仿宋" w:cs="仿宋_GB2312;仿宋" w:hint="eastAsia" w:eastAsia="仿宋_GB2312;仿宋"/>
          <w:color w:val="000000"/>
          <w:kern w:val="0"/>
          <w:sz w:val="32"/>
          <w:szCs w:val="32"/>
          <w:shd w:fill="FFFFFF" w:val="clear"/>
        </w:rPr>
        <w:t>农村集体经济组织使用乡（镇）国土空间规划确定的建设用地用于乡村公共设施、公益事业建设，兴办企业或者与其他单位、个人以土地使用权入股、联营等形式共同举办企业的，应当持有关批准文件向县级人民政府自然资源主管部门提出申请，报县级人民政府批准。涉及占用农用地的，应当依法办理农用地转用审批手续。</w:t>
      </w:r>
    </w:p>
    <w:p>
      <w:pPr>
        <w:pStyle w:val="Normal"/>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color w:val="000000"/>
          <w:kern w:val="0"/>
          <w:sz w:val="32"/>
          <w:szCs w:val="32"/>
          <w:shd w:fill="FFFFFF" w:val="clear"/>
        </w:rPr>
      </w:pPr>
      <w:r>
        <w:rPr>
          <w:rFonts w:ascii="黑体" w:hAnsi="黑体" w:cs="黑体" w:hint="eastAsia" w:eastAsia="黑体"/>
          <w:color w:val="000000"/>
          <w:sz w:val="32"/>
          <w:szCs w:val="32"/>
        </w:rPr>
        <w:t>第五十一条</w:t>
      </w:r>
      <w:r>
        <w:rPr>
          <w:rFonts w:ascii="仿宋" w:hAnsi="仿宋" w:cs="仿宋" w:hint="eastAsia" w:eastAsia="仿宋"/>
          <w:color w:val="000000"/>
          <w:sz w:val="32"/>
          <w:szCs w:val="32"/>
        </w:rPr>
        <w:t xml:space="preserve">  </w:t>
      </w:r>
      <w:r>
        <w:rPr>
          <w:rFonts w:ascii="仿宋_GB2312;仿宋" w:hAnsi="仿宋_GB2312;仿宋" w:cs="仿宋_GB2312;仿宋" w:hint="eastAsia" w:eastAsia="仿宋_GB2312;仿宋"/>
          <w:color w:val="000000"/>
          <w:kern w:val="0"/>
          <w:sz w:val="32"/>
          <w:szCs w:val="32"/>
          <w:shd w:fill="FFFFFF" w:val="clear"/>
        </w:rPr>
        <w:t>编制国土空间规划，应当按照规模控制和节约集约利用的原则，合理安排集体经营性建设用地布局和用途。</w:t>
      </w:r>
    </w:p>
    <w:p>
      <w:pPr>
        <w:pStyle w:val="Normal"/>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color w:val="000000"/>
          <w:kern w:val="0"/>
          <w:sz w:val="32"/>
          <w:szCs w:val="32"/>
          <w:shd w:fill="FFFFFF" w:val="clear"/>
        </w:rPr>
      </w:pPr>
      <w:r>
        <w:rPr>
          <w:rFonts w:ascii="仿宋_GB2312;仿宋" w:hAnsi="仿宋_GB2312;仿宋" w:cs="仿宋_GB2312;仿宋" w:hint="eastAsia" w:eastAsia="仿宋_GB2312;仿宋"/>
          <w:color w:val="000000"/>
          <w:kern w:val="0"/>
          <w:sz w:val="32"/>
          <w:szCs w:val="32"/>
          <w:shd w:fill="FFFFFF" w:val="clear"/>
        </w:rPr>
        <w:t>国土空间规划确定为工业、商业等经营性用途，且已依法办理土地所有权登记的集体经营性建设用地，土地所有权人可以通过出让、出租等方式交由单位和个人在一定年限内有偿使用，并应当签订书面合同。</w:t>
      </w:r>
    </w:p>
    <w:p>
      <w:pPr>
        <w:pStyle w:val="Normal"/>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color w:val="000000"/>
          <w:kern w:val="0"/>
          <w:sz w:val="32"/>
          <w:szCs w:val="32"/>
          <w:shd w:fill="FFFFFF" w:val="clear"/>
        </w:rPr>
      </w:pPr>
      <w:r>
        <w:rPr>
          <w:rFonts w:ascii="仿宋_GB2312;仿宋" w:hAnsi="仿宋_GB2312;仿宋" w:cs="仿宋_GB2312;仿宋" w:hint="eastAsia" w:eastAsia="仿宋_GB2312;仿宋"/>
          <w:color w:val="000000"/>
          <w:kern w:val="0"/>
          <w:sz w:val="32"/>
          <w:szCs w:val="32"/>
          <w:shd w:fill="FFFFFF" w:val="clear"/>
        </w:rPr>
        <w:t>鼓励乡村重点产业和项目使用集体经营性建设用地。</w:t>
      </w:r>
    </w:p>
    <w:p>
      <w:pPr>
        <w:pStyle w:val="Normal"/>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color w:val="000000"/>
          <w:kern w:val="0"/>
          <w:sz w:val="32"/>
          <w:szCs w:val="32"/>
          <w:shd w:fill="FFFFFF" w:val="clear"/>
        </w:rPr>
      </w:pPr>
      <w:r>
        <w:rPr>
          <w:rFonts w:ascii="仿宋_GB2312;仿宋" w:hAnsi="仿宋_GB2312;仿宋" w:cs="仿宋_GB2312;仿宋" w:hint="eastAsia" w:eastAsia="仿宋_GB2312;仿宋"/>
          <w:color w:val="000000"/>
          <w:kern w:val="0"/>
          <w:sz w:val="32"/>
          <w:szCs w:val="32"/>
          <w:shd w:fill="FFFFFF" w:val="clear"/>
        </w:rPr>
        <w:t>使用集体经营性建设用地应当符合规划条件、产业准入和生态环境保护等要求。</w:t>
      </w:r>
    </w:p>
    <w:p>
      <w:pPr>
        <w:pStyle w:val="Normal"/>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color w:val="000000"/>
          <w:kern w:val="0"/>
          <w:sz w:val="32"/>
          <w:szCs w:val="32"/>
          <w:shd w:fill="FFFFFF" w:val="clear"/>
        </w:rPr>
      </w:pPr>
      <w:r>
        <w:rPr>
          <w:rFonts w:ascii="仿宋_GB2312;仿宋" w:hAnsi="仿宋_GB2312;仿宋" w:cs="仿宋_GB2312;仿宋" w:hint="eastAsia" w:eastAsia="仿宋_GB2312;仿宋"/>
          <w:color w:val="000000"/>
          <w:kern w:val="0"/>
          <w:sz w:val="32"/>
          <w:szCs w:val="32"/>
          <w:shd w:fill="FFFFFF" w:val="clear"/>
        </w:rPr>
        <w:t>集体经营性建设用地出让、出租等具体程序和办法按照法律、法规和国家有关规定执行。</w:t>
      </w:r>
    </w:p>
    <w:p>
      <w:pPr>
        <w:pStyle w:val="Normal"/>
        <w:pageBreakBefore w:val="false"/>
        <w:kinsoku w:val="true"/>
        <w:overflowPunct w:val="true"/>
        <w:autoSpaceDE w:val="true"/>
        <w:bidi w:val="0"/>
        <w:spacing w:lineRule="exact" w:line="560"/>
        <w:ind w:firstLineChars="200" w:startChars="0" w:start="0" w:endChars="0" w:end="0"/>
        <w:textAlignment w:val="auto"/>
        <w:rPr>
          <w:rFonts w:ascii="仿宋" w:hAnsi="仿宋" w:eastAsia="仿宋" w:cs="仿宋" w:hint="eastAsia"/>
          <w:b w:val="false"/>
          <w:bCs w:val="false"/>
          <w:color w:val="000000"/>
          <w:kern w:val="0"/>
          <w:sz w:val="32"/>
          <w:szCs w:val="32"/>
          <w:bdr w:val="single" w:sz="4" w:space="0" w:color="000000"/>
          <w:shd w:fill="FFFFFF" w:val="clear"/>
        </w:rPr>
      </w:pPr>
      <w:r>
        <w:rPr>
          <w:rFonts w:eastAsia="仿宋" w:cs="仿宋" w:hint="eastAsia" w:ascii="仿宋" w:hAnsi="仿宋"/>
          <w:b w:val="false"/>
          <w:bCs w:val="false"/>
          <w:color w:val="000000"/>
          <w:kern w:val="0"/>
          <w:sz w:val="32"/>
          <w:szCs w:val="32"/>
          <w:bdr w:val="single" w:sz="4" w:space="0" w:color="000000"/>
          <w:shd w:fill="FFFFFF" w:val="clear"/>
        </w:rPr>
      </w:r>
    </w:p>
    <w:p>
      <w:pPr>
        <w:pStyle w:val="Heading1"/>
        <w:pageBreakBefore w:val="false"/>
        <w:numPr>
          <w:ilvl w:val="0"/>
          <w:numId w:val="0"/>
        </w:numPr>
        <w:kinsoku w:val="true"/>
        <w:overflowPunct w:val="true"/>
        <w:autoSpaceDE w:val="true"/>
        <w:bidi w:val="0"/>
        <w:spacing w:lineRule="exact" w:line="560" w:before="0" w:after="0"/>
        <w:ind w:hanging="0" w:start="0"/>
        <w:jc w:val="center"/>
        <w:textAlignment w:val="auto"/>
        <w:rPr>
          <w:rFonts w:ascii="黑体" w:hAnsi="黑体" w:eastAsia="黑体" w:cs="黑体" w:hint="eastAsia"/>
          <w:b w:val="false"/>
          <w:bCs w:val="false"/>
          <w:color w:val="000000"/>
          <w:sz w:val="32"/>
          <w:szCs w:val="32"/>
          <w:shd w:fill="FFFFFF" w:val="clear"/>
        </w:rPr>
      </w:pPr>
      <w:r>
        <w:rPr>
          <w:rFonts w:ascii="黑体" w:hAnsi="黑体" w:cs="黑体" w:hint="eastAsia" w:eastAsia="黑体"/>
          <w:b w:val="false"/>
          <w:bCs w:val="false"/>
          <w:color w:val="000000"/>
          <w:sz w:val="32"/>
          <w:szCs w:val="32"/>
          <w:shd w:fill="FFFFFF" w:val="clear"/>
        </w:rPr>
        <w:t>第六章  监督检查</w:t>
      </w:r>
    </w:p>
    <w:p>
      <w:pPr>
        <w:pStyle w:val="Normal"/>
        <w:pageBreakBefore w:val="false"/>
        <w:numPr>
          <w:ilvl w:val="0"/>
          <w:numId w:val="0"/>
        </w:numPr>
        <w:kinsoku w:val="true"/>
        <w:overflowPunct w:val="true"/>
        <w:autoSpaceDE w:val="true"/>
        <w:bidi w:val="0"/>
        <w:spacing w:lineRule="exact" w:line="560"/>
        <w:ind w:firstLineChars="0" w:firstLine="0" w:startChars="0" w:start="0" w:endChars="0" w:end="0"/>
        <w:textAlignment w:val="auto"/>
        <w:rPr>
          <w:rFonts w:ascii="黑体" w:hAnsi="黑体" w:eastAsia="黑体" w:cs="黑体" w:hint="eastAsia"/>
          <w:b w:val="false"/>
          <w:bCs w:val="false"/>
          <w:color w:val="000000"/>
          <w:sz w:val="32"/>
          <w:szCs w:val="32"/>
          <w:shd w:fill="FFFFFF" w:val="clear"/>
        </w:rPr>
      </w:pPr>
      <w:r>
        <w:rPr>
          <w:rFonts w:eastAsia="黑体" w:cs="黑体" w:hint="eastAsia" w:ascii="黑体" w:hAnsi="黑体"/>
          <w:b w:val="false"/>
          <w:bCs w:val="false"/>
          <w:color w:val="000000"/>
          <w:sz w:val="32"/>
          <w:szCs w:val="32"/>
          <w:shd w:fill="FFFFFF" w:val="clear"/>
        </w:rPr>
      </w:r>
    </w:p>
    <w:p>
      <w:pPr>
        <w:pStyle w:val="Normal"/>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color w:val="000000"/>
          <w:kern w:val="0"/>
          <w:sz w:val="32"/>
          <w:szCs w:val="32"/>
          <w:shd w:fill="FFFFFF" w:val="clear"/>
        </w:rPr>
      </w:pPr>
      <w:r>
        <w:rPr>
          <w:rFonts w:ascii="黑体" w:hAnsi="黑体" w:cs="黑体" w:hint="eastAsia" w:eastAsia="黑体"/>
          <w:color w:val="000000"/>
          <w:sz w:val="32"/>
          <w:szCs w:val="32"/>
        </w:rPr>
        <w:t>第五十二条</w:t>
      </w:r>
      <w:r>
        <w:rPr>
          <w:rFonts w:ascii="仿宋" w:hAnsi="仿宋" w:cs="仿宋" w:hint="eastAsia" w:eastAsia="仿宋"/>
          <w:color w:val="000000"/>
          <w:sz w:val="32"/>
          <w:szCs w:val="32"/>
        </w:rPr>
        <w:t xml:space="preserve">  </w:t>
      </w:r>
      <w:r>
        <w:rPr>
          <w:rFonts w:ascii="仿宋_GB2312;仿宋" w:hAnsi="仿宋_GB2312;仿宋" w:cs="仿宋_GB2312;仿宋" w:hint="eastAsia" w:eastAsia="仿宋_GB2312;仿宋"/>
          <w:color w:val="000000"/>
          <w:kern w:val="0"/>
          <w:sz w:val="32"/>
          <w:szCs w:val="32"/>
          <w:shd w:fill="FFFFFF" w:val="clear"/>
        </w:rPr>
        <w:t>县级以上人民政府自然资源、农业农村主管部门应当按照各自职责对本行政区域内贯彻实施土地管理法律、法规的情况进行监督检查。</w:t>
      </w:r>
    </w:p>
    <w:p>
      <w:pPr>
        <w:pStyle w:val="Normal"/>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color w:val="000000"/>
          <w:kern w:val="0"/>
          <w:sz w:val="32"/>
          <w:szCs w:val="32"/>
          <w:shd w:fill="FFFFFF" w:val="clear"/>
        </w:rPr>
      </w:pPr>
      <w:r>
        <w:rPr>
          <w:rFonts w:ascii="仿宋_GB2312;仿宋" w:hAnsi="仿宋_GB2312;仿宋" w:cs="仿宋_GB2312;仿宋" w:hint="eastAsia" w:eastAsia="仿宋_GB2312;仿宋"/>
          <w:color w:val="000000"/>
          <w:kern w:val="0"/>
          <w:sz w:val="32"/>
          <w:szCs w:val="32"/>
          <w:shd w:fill="FFFFFF" w:val="clear"/>
        </w:rPr>
        <w:t>有关单位和个人对县级以上人民政府自然资源、农业农村主管部门就土地违法行为进行的监督检查应当支持与配合，并提供工作方便，不得拒绝、阻碍土地管理监督检查人员依法执行职务。</w:t>
      </w:r>
    </w:p>
    <w:p>
      <w:pPr>
        <w:pStyle w:val="Normal"/>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color w:val="000000"/>
          <w:kern w:val="0"/>
          <w:sz w:val="32"/>
          <w:szCs w:val="32"/>
          <w:shd w:fill="FFFFFF" w:val="clear"/>
        </w:rPr>
      </w:pPr>
      <w:r>
        <w:rPr>
          <w:rFonts w:ascii="仿宋_GB2312;仿宋" w:hAnsi="仿宋_GB2312;仿宋" w:cs="仿宋_GB2312;仿宋" w:hint="eastAsia" w:eastAsia="仿宋_GB2312;仿宋"/>
          <w:color w:val="000000"/>
          <w:kern w:val="0"/>
          <w:sz w:val="32"/>
          <w:szCs w:val="32"/>
          <w:shd w:fill="FFFFFF" w:val="clear"/>
        </w:rPr>
        <w:t>经省人民政府决定，乡（镇）人民政府、街道办事处可以集中行使有关违反土地管理法律、法规、规章行为的行政处罚权。</w:t>
      </w:r>
    </w:p>
    <w:p>
      <w:pPr>
        <w:pStyle w:val="Normal"/>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color w:val="000000"/>
          <w:kern w:val="0"/>
          <w:sz w:val="32"/>
          <w:szCs w:val="32"/>
          <w:shd w:fill="FFFFFF" w:val="clear"/>
        </w:rPr>
      </w:pPr>
      <w:r>
        <w:rPr>
          <w:rFonts w:ascii="黑体" w:hAnsi="黑体" w:cs="黑体" w:hint="eastAsia" w:eastAsia="黑体"/>
          <w:b w:val="false"/>
          <w:bCs w:val="false"/>
          <w:color w:val="000000"/>
          <w:sz w:val="32"/>
          <w:szCs w:val="32"/>
        </w:rPr>
        <w:t xml:space="preserve">第五十三条  </w:t>
      </w:r>
      <w:r>
        <w:rPr>
          <w:rFonts w:ascii="仿宋_GB2312;仿宋" w:hAnsi="仿宋_GB2312;仿宋" w:cs="仿宋_GB2312;仿宋" w:hint="eastAsia" w:eastAsia="仿宋_GB2312;仿宋"/>
          <w:color w:val="000000"/>
          <w:kern w:val="0"/>
          <w:sz w:val="32"/>
          <w:szCs w:val="32"/>
          <w:shd w:fill="FFFFFF" w:val="clear"/>
        </w:rPr>
        <w:t>县级以上人民政府应当建立土地管理执法协调机制，协调自然资源、农业农村等有关部门的土地管理执法工作，发挥乡（镇）人民政府、街道办事处的职能作用，保障土地管理各项制度的实施。</w:t>
      </w:r>
    </w:p>
    <w:p>
      <w:pPr>
        <w:pStyle w:val="Style14"/>
        <w:pageBreakBefore w:val="false"/>
        <w:widowControl/>
        <w:shd w:fill="FFFFFF" w:val="clear"/>
        <w:kinsoku w:val="true"/>
        <w:overflowPunct w:val="true"/>
        <w:autoSpaceDE w:val="true"/>
        <w:bidi w:val="0"/>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z w:val="32"/>
          <w:szCs w:val="32"/>
          <w:shd w:fill="FFFFFF" w:val="clear"/>
        </w:rPr>
      </w:pPr>
      <w:r>
        <w:rPr>
          <w:rFonts w:ascii="黑体" w:hAnsi="黑体" w:cs="黑体" w:hint="eastAsia" w:eastAsia="黑体"/>
          <w:color w:val="000000"/>
          <w:sz w:val="32"/>
          <w:szCs w:val="32"/>
        </w:rPr>
        <w:t>第五十四条</w:t>
      </w:r>
      <w:r>
        <w:rPr>
          <w:rFonts w:ascii="仿宋" w:hAnsi="仿宋" w:cs="仿宋" w:hint="eastAsia" w:eastAsia="仿宋"/>
          <w:color w:val="000000"/>
          <w:sz w:val="32"/>
          <w:szCs w:val="32"/>
        </w:rPr>
        <w:t xml:space="preserve">  </w:t>
      </w:r>
      <w:r>
        <w:rPr>
          <w:rFonts w:ascii="仿宋_GB2312;仿宋" w:hAnsi="仿宋_GB2312;仿宋" w:cs="仿宋_GB2312;仿宋" w:hint="eastAsia" w:eastAsia="仿宋_GB2312;仿宋"/>
          <w:color w:val="000000"/>
          <w:sz w:val="32"/>
          <w:szCs w:val="32"/>
          <w:shd w:fill="FFFFFF" w:val="clear"/>
        </w:rPr>
        <w:t>省人民政府或者省人民政府自然资源主管部门根据授权，对市（州）、县（市）人民政府耕地保护情况、土地节约集约利用情况、国土空间规划编制和实施情况、国家有关土地管理重大决策落实情况、土地管理法律、法规执行情况、其他土地利用和土地管理等情况实施督察。</w:t>
      </w:r>
    </w:p>
    <w:p>
      <w:pPr>
        <w:pStyle w:val="Normal"/>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color w:val="000000"/>
          <w:kern w:val="0"/>
          <w:sz w:val="32"/>
          <w:szCs w:val="32"/>
          <w:shd w:fill="FFFFFF" w:val="clear"/>
        </w:rPr>
      </w:pPr>
      <w:r>
        <w:rPr>
          <w:rFonts w:ascii="黑体" w:hAnsi="黑体" w:cs="黑体" w:hint="eastAsia" w:eastAsia="黑体"/>
          <w:color w:val="000000"/>
          <w:sz w:val="32"/>
          <w:szCs w:val="32"/>
        </w:rPr>
        <w:t>第五十五条</w:t>
      </w:r>
      <w:r>
        <w:rPr>
          <w:rFonts w:ascii="仿宋" w:hAnsi="仿宋" w:cs="仿宋" w:hint="eastAsia" w:eastAsia="仿宋"/>
          <w:color w:val="000000"/>
          <w:sz w:val="32"/>
          <w:szCs w:val="32"/>
        </w:rPr>
        <w:t xml:space="preserve">  </w:t>
      </w:r>
      <w:r>
        <w:rPr>
          <w:rFonts w:ascii="仿宋_GB2312;仿宋" w:hAnsi="仿宋_GB2312;仿宋" w:cs="仿宋_GB2312;仿宋" w:hint="eastAsia" w:eastAsia="仿宋_GB2312;仿宋"/>
          <w:color w:val="000000"/>
          <w:kern w:val="0"/>
          <w:sz w:val="32"/>
          <w:szCs w:val="32"/>
          <w:shd w:fill="FFFFFF" w:val="clear"/>
        </w:rPr>
        <w:t>被督察的市（州）、县（市）人民政府违反土地管理法律、法规，或者落实国家和省有关土地管理重大决策不力的，省人民政府或者省人民政府授权的自然资源主管部门可以向被督察的人民政府下达督察意见书，采取约谈、通报等措施，督促问题整改，对发现的违法问题依法移交有关机关处理。</w:t>
      </w:r>
    </w:p>
    <w:p>
      <w:pPr>
        <w:pStyle w:val="Normal"/>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color w:val="000000"/>
          <w:kern w:val="0"/>
          <w:sz w:val="32"/>
          <w:szCs w:val="32"/>
          <w:shd w:fill="FFFFFF" w:val="clear"/>
        </w:rPr>
      </w:pPr>
      <w:r>
        <w:rPr>
          <w:rFonts w:ascii="仿宋_GB2312;仿宋" w:hAnsi="仿宋_GB2312;仿宋" w:cs="仿宋_GB2312;仿宋" w:hint="eastAsia" w:eastAsia="仿宋_GB2312;仿宋"/>
          <w:color w:val="000000"/>
          <w:kern w:val="0"/>
          <w:sz w:val="32"/>
          <w:szCs w:val="32"/>
          <w:shd w:fill="FFFFFF" w:val="clear"/>
        </w:rPr>
        <w:t>被督察的人民政府应当认真组织整改，并及时报告整改情况。</w:t>
      </w:r>
    </w:p>
    <w:p>
      <w:pPr>
        <w:pStyle w:val="Style14"/>
        <w:pageBreakBefore w:val="false"/>
        <w:widowControl/>
        <w:shd w:fill="FFFFFF" w:val="clear"/>
        <w:kinsoku w:val="true"/>
        <w:overflowPunct w:val="true"/>
        <w:autoSpaceDE w:val="true"/>
        <w:bidi w:val="0"/>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z w:val="32"/>
          <w:szCs w:val="32"/>
          <w:shd w:fill="FFFFFF" w:val="clear"/>
        </w:rPr>
      </w:pPr>
      <w:r>
        <w:rPr>
          <w:rFonts w:ascii="黑体" w:hAnsi="黑体" w:cs="黑体" w:hint="eastAsia" w:eastAsia="黑体"/>
          <w:color w:val="000000"/>
          <w:sz w:val="32"/>
          <w:szCs w:val="32"/>
        </w:rPr>
        <w:t>第五十六条</w:t>
      </w:r>
      <w:r>
        <w:rPr>
          <w:rFonts w:ascii="仿宋" w:hAnsi="仿宋" w:cs="仿宋" w:hint="eastAsia" w:eastAsia="仿宋"/>
          <w:color w:val="000000"/>
          <w:sz w:val="32"/>
          <w:szCs w:val="32"/>
        </w:rPr>
        <w:t xml:space="preserve">  </w:t>
      </w:r>
      <w:r>
        <w:rPr>
          <w:rFonts w:ascii="仿宋_GB2312;仿宋" w:hAnsi="仿宋_GB2312;仿宋" w:cs="仿宋_GB2312;仿宋" w:hint="eastAsia" w:eastAsia="仿宋_GB2312;仿宋"/>
          <w:color w:val="000000"/>
          <w:sz w:val="32"/>
          <w:szCs w:val="32"/>
          <w:shd w:fill="FFFFFF" w:val="clear"/>
        </w:rPr>
        <w:t>县级以上人民政府自然资源主管部门应当充分利用卫星遥感等技术手段加强对土地违法行为的监测。</w:t>
      </w:r>
    </w:p>
    <w:p>
      <w:pPr>
        <w:pStyle w:val="Style14"/>
        <w:pageBreakBefore w:val="false"/>
        <w:widowControl/>
        <w:shd w:fill="FFFFFF" w:val="clear"/>
        <w:kinsoku w:val="true"/>
        <w:overflowPunct w:val="true"/>
        <w:autoSpaceDE w:val="true"/>
        <w:bidi w:val="0"/>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z w:val="32"/>
          <w:szCs w:val="32"/>
          <w:shd w:fill="FFFFFF" w:val="clear"/>
        </w:rPr>
      </w:pPr>
      <w:r>
        <w:rPr>
          <w:rFonts w:ascii="仿宋_GB2312;仿宋" w:hAnsi="仿宋_GB2312;仿宋" w:cs="仿宋_GB2312;仿宋" w:hint="eastAsia" w:eastAsia="仿宋_GB2312;仿宋"/>
          <w:color w:val="000000"/>
          <w:sz w:val="32"/>
          <w:szCs w:val="32"/>
          <w:shd w:fill="FFFFFF" w:val="clear"/>
        </w:rPr>
        <w:t>乡（镇）人民政府、街道办事处应当建立土地日常巡查制度，及时发现和制止土地违法行为。</w:t>
      </w:r>
    </w:p>
    <w:p>
      <w:pPr>
        <w:pStyle w:val="Style14"/>
        <w:pageBreakBefore w:val="false"/>
        <w:widowControl/>
        <w:shd w:fill="FFFFFF" w:val="clear"/>
        <w:kinsoku w:val="true"/>
        <w:overflowPunct w:val="true"/>
        <w:autoSpaceDE w:val="true"/>
        <w:bidi w:val="0"/>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z w:val="32"/>
          <w:szCs w:val="32"/>
          <w:shd w:fill="FFFFFF" w:val="clear"/>
        </w:rPr>
      </w:pPr>
      <w:r>
        <w:rPr>
          <w:rFonts w:ascii="仿宋_GB2312;仿宋" w:hAnsi="仿宋_GB2312;仿宋" w:cs="仿宋_GB2312;仿宋" w:hint="eastAsia" w:eastAsia="仿宋_GB2312;仿宋"/>
          <w:color w:val="000000"/>
          <w:sz w:val="32"/>
          <w:szCs w:val="32"/>
          <w:shd w:fill="FFFFFF" w:val="clear"/>
        </w:rPr>
        <w:t>县级以上人民政府有关部门可以建立土地管理信用制度，依法将土地管理信用信息纳入公共信用信息平台。</w:t>
      </w:r>
    </w:p>
    <w:p>
      <w:pPr>
        <w:pStyle w:val="Normal"/>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color w:val="000000"/>
          <w:kern w:val="0"/>
          <w:sz w:val="32"/>
          <w:szCs w:val="32"/>
          <w:shd w:fill="FFFFFF" w:val="clear"/>
        </w:rPr>
      </w:pPr>
      <w:r>
        <w:rPr>
          <w:rFonts w:ascii="黑体" w:hAnsi="黑体" w:cs="黑体" w:hint="eastAsia" w:eastAsia="黑体"/>
          <w:color w:val="000000"/>
          <w:sz w:val="32"/>
          <w:szCs w:val="32"/>
        </w:rPr>
        <w:t>第五十七条</w:t>
      </w:r>
      <w:r>
        <w:rPr>
          <w:rFonts w:ascii="仿宋" w:hAnsi="仿宋" w:cs="仿宋" w:hint="eastAsia" w:eastAsia="仿宋"/>
          <w:color w:val="000000"/>
          <w:sz w:val="32"/>
          <w:szCs w:val="32"/>
        </w:rPr>
        <w:t xml:space="preserve">  </w:t>
      </w:r>
      <w:r>
        <w:rPr>
          <w:rFonts w:ascii="仿宋_GB2312;仿宋" w:hAnsi="仿宋_GB2312;仿宋" w:cs="仿宋_GB2312;仿宋" w:hint="eastAsia" w:eastAsia="仿宋_GB2312;仿宋"/>
          <w:color w:val="000000"/>
          <w:kern w:val="0"/>
          <w:sz w:val="32"/>
          <w:szCs w:val="32"/>
          <w:shd w:fill="FFFFFF" w:val="clear"/>
        </w:rPr>
        <w:t>市（州）、县（市）人民政府应当自行或者指定有关部门依法管理和处置违反土地管理法律、法规没收的建（构）筑物。具体管理和处置规定由市（州）、县（市）人民政府依照有关法律、法规制定。</w:t>
      </w:r>
    </w:p>
    <w:p>
      <w:pPr>
        <w:pStyle w:val="Normal"/>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color w:val="000000"/>
          <w:kern w:val="0"/>
          <w:sz w:val="32"/>
          <w:szCs w:val="32"/>
          <w:shd w:fill="FFFFFF" w:val="clear"/>
        </w:rPr>
      </w:pPr>
      <w:r>
        <w:rPr>
          <w:rFonts w:eastAsia="仿宋_GB2312;仿宋" w:cs="仿宋_GB2312;仿宋" w:hint="eastAsia" w:ascii="仿宋_GB2312;仿宋" w:hAnsi="仿宋_GB2312;仿宋"/>
          <w:color w:val="000000"/>
          <w:kern w:val="0"/>
          <w:sz w:val="32"/>
          <w:szCs w:val="32"/>
          <w:shd w:fill="FFFFFF" w:val="clear"/>
        </w:rPr>
      </w:r>
    </w:p>
    <w:p>
      <w:pPr>
        <w:pStyle w:val="Heading1"/>
        <w:pageBreakBefore w:val="false"/>
        <w:numPr>
          <w:ilvl w:val="0"/>
          <w:numId w:val="0"/>
        </w:numPr>
        <w:kinsoku w:val="true"/>
        <w:overflowPunct w:val="true"/>
        <w:autoSpaceDE w:val="true"/>
        <w:bidi w:val="0"/>
        <w:spacing w:lineRule="exact" w:line="560" w:before="0" w:after="0"/>
        <w:ind w:hanging="0" w:start="0"/>
        <w:jc w:val="center"/>
        <w:textAlignment w:val="auto"/>
        <w:rPr>
          <w:rFonts w:ascii="黑体" w:hAnsi="黑体" w:eastAsia="黑体" w:cs="黑体" w:hint="eastAsia"/>
          <w:b w:val="false"/>
          <w:bCs w:val="false"/>
          <w:color w:val="000000"/>
          <w:sz w:val="32"/>
          <w:szCs w:val="32"/>
          <w:shd w:fill="FFFFFF" w:val="clear"/>
        </w:rPr>
      </w:pPr>
      <w:r>
        <w:rPr>
          <w:rFonts w:ascii="黑体" w:hAnsi="黑体" w:cs="黑体" w:hint="eastAsia" w:eastAsia="黑体"/>
          <w:b w:val="false"/>
          <w:bCs w:val="false"/>
          <w:color w:val="000000"/>
          <w:sz w:val="32"/>
          <w:szCs w:val="32"/>
          <w:shd w:fill="FFFFFF" w:val="clear"/>
        </w:rPr>
        <w:t>第七章  法律责任</w:t>
      </w:r>
    </w:p>
    <w:p>
      <w:pPr>
        <w:pStyle w:val="Normal"/>
        <w:pageBreakBefore w:val="false"/>
        <w:numPr>
          <w:ilvl w:val="0"/>
          <w:numId w:val="0"/>
        </w:numPr>
        <w:kinsoku w:val="true"/>
        <w:overflowPunct w:val="true"/>
        <w:autoSpaceDE w:val="true"/>
        <w:bidi w:val="0"/>
        <w:spacing w:lineRule="exact" w:line="560"/>
        <w:ind w:firstLineChars="0" w:firstLine="0" w:startChars="0" w:start="0" w:endChars="0" w:end="0"/>
        <w:textAlignment w:val="auto"/>
        <w:rPr>
          <w:rFonts w:ascii="黑体" w:hAnsi="黑体" w:eastAsia="黑体" w:cs="黑体" w:hint="eastAsia"/>
          <w:b w:val="false"/>
          <w:bCs w:val="false"/>
          <w:color w:val="000000"/>
          <w:sz w:val="32"/>
          <w:szCs w:val="32"/>
          <w:shd w:fill="FFFFFF" w:val="clear"/>
        </w:rPr>
      </w:pPr>
      <w:r>
        <w:rPr>
          <w:rFonts w:eastAsia="黑体" w:cs="黑体" w:hint="eastAsia" w:ascii="黑体" w:hAnsi="黑体"/>
          <w:b w:val="false"/>
          <w:bCs w:val="false"/>
          <w:color w:val="000000"/>
          <w:sz w:val="32"/>
          <w:szCs w:val="32"/>
          <w:shd w:fill="FFFFFF" w:val="clear"/>
        </w:rPr>
      </w:r>
    </w:p>
    <w:p>
      <w:pPr>
        <w:pStyle w:val="Normal"/>
        <w:pageBreakBefore w:val="false"/>
        <w:kinsoku w:val="true"/>
        <w:overflowPunct w:val="true"/>
        <w:autoSpaceDE w:val="true"/>
        <w:bidi w:val="0"/>
        <w:spacing w:lineRule="exact" w:line="560"/>
        <w:ind w:firstLineChars="200" w:startChars="0" w:start="0" w:endChars="0" w:end="0"/>
        <w:textAlignment w:val="auto"/>
        <w:rPr>
          <w:rFonts w:ascii="黑体" w:hAnsi="黑体" w:eastAsia="黑体" w:cs="黑体" w:hint="eastAsia"/>
          <w:color w:val="000000"/>
          <w:sz w:val="32"/>
          <w:szCs w:val="32"/>
          <w:bdr w:val="single" w:sz="4" w:space="0" w:color="000000"/>
        </w:rPr>
      </w:pPr>
      <w:r>
        <w:rPr>
          <w:rFonts w:ascii="黑体" w:hAnsi="黑体" w:cs="黑体" w:hint="eastAsia" w:eastAsia="黑体"/>
          <w:color w:val="000000"/>
          <w:sz w:val="32"/>
          <w:szCs w:val="32"/>
        </w:rPr>
        <w:t>第五十八条</w:t>
      </w:r>
      <w:r>
        <w:rPr>
          <w:rFonts w:ascii="仿宋" w:hAnsi="仿宋" w:cs="仿宋" w:hint="eastAsia" w:eastAsia="仿宋"/>
          <w:color w:val="000000"/>
          <w:sz w:val="32"/>
          <w:szCs w:val="32"/>
        </w:rPr>
        <w:t xml:space="preserve">  </w:t>
      </w:r>
      <w:r>
        <w:rPr>
          <w:rFonts w:ascii="仿宋_GB2312;仿宋" w:hAnsi="仿宋_GB2312;仿宋" w:cs="仿宋_GB2312;仿宋" w:hint="eastAsia" w:eastAsia="仿宋_GB2312;仿宋"/>
          <w:color w:val="000000"/>
          <w:kern w:val="0"/>
          <w:sz w:val="32"/>
          <w:szCs w:val="32"/>
          <w:shd w:fill="FFFFFF" w:val="clear"/>
        </w:rPr>
        <w:t>违反本条例规定的行为，法律、行政法规已有法律责任规定的，从其规定。</w:t>
      </w:r>
    </w:p>
    <w:p>
      <w:pPr>
        <w:pStyle w:val="Normal"/>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color w:val="000000"/>
          <w:kern w:val="0"/>
          <w:sz w:val="32"/>
          <w:szCs w:val="32"/>
          <w:shd w:fill="FFFFFF" w:val="clear"/>
        </w:rPr>
      </w:pPr>
      <w:r>
        <w:rPr>
          <w:rFonts w:ascii="黑体" w:hAnsi="黑体" w:cs="黑体" w:hint="eastAsia" w:eastAsia="黑体"/>
          <w:color w:val="000000"/>
          <w:sz w:val="32"/>
          <w:szCs w:val="32"/>
        </w:rPr>
        <w:t>第五十九条</w:t>
      </w:r>
      <w:r>
        <w:rPr>
          <w:rFonts w:ascii="仿宋" w:hAnsi="仿宋" w:cs="仿宋" w:hint="eastAsia" w:eastAsia="仿宋"/>
          <w:color w:val="000000"/>
          <w:sz w:val="32"/>
          <w:szCs w:val="32"/>
        </w:rPr>
        <w:t xml:space="preserve">  </w:t>
      </w:r>
      <w:r>
        <w:rPr>
          <w:rFonts w:ascii="仿宋_GB2312;仿宋" w:hAnsi="仿宋_GB2312;仿宋" w:cs="仿宋_GB2312;仿宋" w:hint="eastAsia" w:eastAsia="仿宋_GB2312;仿宋"/>
          <w:color w:val="000000"/>
          <w:sz w:val="32"/>
          <w:szCs w:val="32"/>
        </w:rPr>
        <w:t>违</w:t>
      </w:r>
      <w:r>
        <w:rPr>
          <w:rFonts w:ascii="仿宋_GB2312;仿宋" w:hAnsi="仿宋_GB2312;仿宋" w:cs="仿宋_GB2312;仿宋" w:hint="eastAsia" w:eastAsia="仿宋_GB2312;仿宋"/>
          <w:color w:val="000000"/>
          <w:kern w:val="0"/>
          <w:sz w:val="32"/>
          <w:szCs w:val="32"/>
          <w:shd w:fill="FFFFFF" w:val="clear"/>
        </w:rPr>
        <w:t>反土地管理法律、法规规定，自然资源主管部门依法以土地复垦费倍数处以罚款的，土地复垦费的数额应当综合考虑损毁前的土地类型、实际损毁面积、损毁程度、复垦标准、复垦用途和完成复垦任务所需的工程量等因素确定。</w:t>
      </w:r>
    </w:p>
    <w:p>
      <w:pPr>
        <w:pStyle w:val="Normal"/>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color w:val="000000"/>
          <w:kern w:val="0"/>
          <w:sz w:val="32"/>
          <w:szCs w:val="32"/>
          <w:shd w:fill="FFFFFF" w:val="clear"/>
        </w:rPr>
      </w:pPr>
      <w:r>
        <w:rPr>
          <w:rFonts w:ascii="黑体" w:hAnsi="黑体" w:cs="黑体" w:hint="eastAsia" w:eastAsia="黑体"/>
          <w:color w:val="000000"/>
          <w:sz w:val="32"/>
          <w:szCs w:val="32"/>
        </w:rPr>
        <w:t>第六十条</w:t>
      </w:r>
      <w:r>
        <w:rPr>
          <w:rFonts w:ascii="黑体" w:hAnsi="黑体" w:cs="黑体" w:eastAsia="黑体"/>
          <w:color w:val="000000"/>
          <w:sz w:val="32"/>
          <w:szCs w:val="32"/>
        </w:rPr>
        <w:t xml:space="preserve">  </w:t>
      </w:r>
      <w:r>
        <w:rPr>
          <w:rFonts w:ascii="仿宋_GB2312;仿宋" w:hAnsi="仿宋_GB2312;仿宋" w:cs="仿宋_GB2312;仿宋" w:hint="eastAsia" w:eastAsia="仿宋_GB2312;仿宋"/>
          <w:color w:val="000000"/>
          <w:kern w:val="0"/>
          <w:sz w:val="32"/>
          <w:szCs w:val="32"/>
          <w:shd w:fill="FFFFFF" w:val="clear"/>
        </w:rPr>
        <w:t>未经批准或者采取欺骗手段骗取批准，非法占用土地的，依照《中华人民共和国土地管理法》《中华人民共和国土地管理法实施条例》给予处罚。其中，罚款按照下列标准执行：</w:t>
      </w:r>
    </w:p>
    <w:p>
      <w:pPr>
        <w:pStyle w:val="Normal"/>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color w:val="000000"/>
          <w:kern w:val="0"/>
          <w:sz w:val="32"/>
          <w:szCs w:val="32"/>
          <w:shd w:fill="FFFFFF" w:val="clear"/>
        </w:rPr>
      </w:pPr>
      <w:r>
        <w:rPr>
          <w:rFonts w:ascii="仿宋_GB2312;仿宋" w:hAnsi="仿宋_GB2312;仿宋" w:cs="仿宋_GB2312;仿宋" w:hint="eastAsia" w:eastAsia="仿宋_GB2312;仿宋"/>
          <w:color w:val="000000"/>
          <w:kern w:val="0"/>
          <w:sz w:val="32"/>
          <w:szCs w:val="32"/>
          <w:shd w:fill="FFFFFF" w:val="clear"/>
        </w:rPr>
        <w:t>（一）占用永久基本农田的，处每平方米五百元以上一千元以下罚款；</w:t>
      </w:r>
    </w:p>
    <w:p>
      <w:pPr>
        <w:pStyle w:val="Normal"/>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color w:val="000000"/>
          <w:kern w:val="0"/>
          <w:sz w:val="32"/>
          <w:szCs w:val="32"/>
          <w:shd w:fill="FFFFFF" w:val="clear"/>
        </w:rPr>
      </w:pPr>
      <w:r>
        <w:rPr>
          <w:rFonts w:ascii="仿宋_GB2312;仿宋" w:hAnsi="仿宋_GB2312;仿宋" w:cs="仿宋_GB2312;仿宋" w:hint="eastAsia" w:eastAsia="仿宋_GB2312;仿宋"/>
          <w:color w:val="000000"/>
          <w:kern w:val="0"/>
          <w:sz w:val="32"/>
          <w:szCs w:val="32"/>
          <w:shd w:fill="FFFFFF" w:val="clear"/>
        </w:rPr>
        <w:t>（二）占用永久基本农田以外的耕地的，处每平方米三百元以上五百元以下罚款；</w:t>
      </w:r>
    </w:p>
    <w:p>
      <w:pPr>
        <w:pStyle w:val="Normal"/>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color w:val="000000"/>
          <w:kern w:val="0"/>
          <w:sz w:val="32"/>
          <w:szCs w:val="32"/>
          <w:shd w:fill="FFFFFF" w:val="clear"/>
        </w:rPr>
      </w:pPr>
      <w:r>
        <w:rPr>
          <w:rFonts w:ascii="仿宋_GB2312;仿宋" w:hAnsi="仿宋_GB2312;仿宋" w:cs="仿宋_GB2312;仿宋" w:hint="eastAsia" w:eastAsia="仿宋_GB2312;仿宋"/>
          <w:color w:val="000000"/>
          <w:kern w:val="0"/>
          <w:sz w:val="32"/>
          <w:szCs w:val="32"/>
          <w:shd w:fill="FFFFFF" w:val="clear"/>
        </w:rPr>
        <w:t>（三）占用其他土地的，处每平方米一百元以上三百元以下罚款。</w:t>
      </w:r>
    </w:p>
    <w:p>
      <w:pPr>
        <w:pStyle w:val="Normal"/>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color w:val="000000"/>
          <w:kern w:val="0"/>
          <w:sz w:val="32"/>
          <w:szCs w:val="32"/>
          <w:shd w:fill="FFFFFF" w:val="clear"/>
        </w:rPr>
      </w:pPr>
      <w:r>
        <w:rPr>
          <w:rFonts w:ascii="黑体" w:hAnsi="黑体" w:cs="黑体" w:hint="eastAsia" w:eastAsia="黑体"/>
          <w:color w:val="000000"/>
          <w:sz w:val="32"/>
          <w:szCs w:val="32"/>
        </w:rPr>
        <w:t>第六十一条</w:t>
      </w:r>
      <w:r>
        <w:rPr>
          <w:rFonts w:ascii="仿宋" w:hAnsi="仿宋" w:cs="仿宋" w:hint="eastAsia" w:eastAsia="仿宋"/>
          <w:color w:val="000000"/>
          <w:sz w:val="32"/>
          <w:szCs w:val="32"/>
        </w:rPr>
        <w:t xml:space="preserve">  </w:t>
      </w:r>
      <w:r>
        <w:rPr>
          <w:rFonts w:ascii="仿宋_GB2312;仿宋" w:hAnsi="仿宋_GB2312;仿宋" w:cs="仿宋_GB2312;仿宋" w:hint="eastAsia" w:eastAsia="仿宋_GB2312;仿宋"/>
          <w:color w:val="000000"/>
          <w:kern w:val="0"/>
          <w:sz w:val="32"/>
          <w:szCs w:val="32"/>
          <w:shd w:fill="FFFFFF" w:val="clear"/>
        </w:rPr>
        <w:t>发布征收土地公告并依法足额支付征地补偿费用后，被征收土地所有权人、使用权人在规定或者约定的期限内拒不交出土地的，由县级以上人民政府责令交出土地；仍不交出土地的，依法申请人民法院强制执行。</w:t>
      </w:r>
    </w:p>
    <w:p>
      <w:pPr>
        <w:pStyle w:val="Normal"/>
        <w:pageBreakBefore w:val="false"/>
        <w:kinsoku w:val="true"/>
        <w:overflowPunct w:val="true"/>
        <w:autoSpaceDE w:val="true"/>
        <w:bidi w:val="0"/>
        <w:spacing w:lineRule="exact" w:line="560"/>
        <w:ind w:firstLineChars="200" w:startChars="0" w:start="0" w:endChars="0" w:end="0"/>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第六十二条</w:t>
      </w:r>
      <w:r>
        <w:rPr>
          <w:rFonts w:ascii="仿宋" w:hAnsi="仿宋" w:cs="仿宋" w:hint="eastAsia" w:eastAsia="仿宋"/>
          <w:color w:val="000000"/>
          <w:sz w:val="32"/>
          <w:szCs w:val="32"/>
        </w:rPr>
        <w:t xml:space="preserve">  </w:t>
      </w:r>
      <w:r>
        <w:rPr>
          <w:rFonts w:ascii="仿宋_GB2312;仿宋" w:hAnsi="仿宋_GB2312;仿宋" w:cs="仿宋_GB2312;仿宋" w:hint="eastAsia" w:eastAsia="仿宋_GB2312;仿宋"/>
          <w:color w:val="000000"/>
          <w:kern w:val="0"/>
          <w:sz w:val="32"/>
          <w:szCs w:val="32"/>
          <w:shd w:fill="FFFFFF" w:val="clear"/>
        </w:rPr>
        <w:t>县级以上人民政府及自然资源、农业农村等有关部门、乡（镇）人民政府、街道办事处及其工作人员玩忽职守、滥用职权、徇私舞弊的，由有权机关对直接负责的主管人员和其他直接责任人员依法给予处分。</w:t>
      </w:r>
    </w:p>
    <w:p>
      <w:pPr>
        <w:pStyle w:val="Heading1"/>
        <w:pageBreakBefore w:val="false"/>
        <w:kinsoku w:val="true"/>
        <w:overflowPunct w:val="true"/>
        <w:autoSpaceDE w:val="true"/>
        <w:bidi w:val="0"/>
        <w:spacing w:lineRule="exact" w:line="560" w:before="0" w:after="0"/>
        <w:ind w:hanging="0" w:start="0"/>
        <w:jc w:val="center"/>
        <w:textAlignment w:val="auto"/>
        <w:rPr>
          <w:rFonts w:ascii="黑体" w:hAnsi="黑体" w:eastAsia="黑体" w:cs="黑体" w:hint="eastAsia"/>
          <w:b w:val="false"/>
          <w:bCs w:val="false"/>
          <w:color w:val="000000"/>
          <w:sz w:val="32"/>
          <w:szCs w:val="32"/>
          <w:shd w:fill="FFFFFF" w:val="clear"/>
        </w:rPr>
      </w:pPr>
      <w:r>
        <w:rPr>
          <w:rFonts w:eastAsia="黑体" w:cs="黑体" w:hint="eastAsia" w:ascii="黑体" w:hAnsi="黑体"/>
          <w:b w:val="false"/>
          <w:bCs w:val="false"/>
          <w:color w:val="000000"/>
          <w:sz w:val="32"/>
          <w:szCs w:val="32"/>
          <w:shd w:fill="FFFFFF" w:val="clear"/>
        </w:rPr>
      </w:r>
    </w:p>
    <w:p>
      <w:pPr>
        <w:pStyle w:val="Heading1"/>
        <w:pageBreakBefore w:val="false"/>
        <w:numPr>
          <w:ilvl w:val="0"/>
          <w:numId w:val="0"/>
        </w:numPr>
        <w:kinsoku w:val="true"/>
        <w:overflowPunct w:val="true"/>
        <w:autoSpaceDE w:val="true"/>
        <w:bidi w:val="0"/>
        <w:spacing w:lineRule="exact" w:line="560" w:before="0" w:after="0"/>
        <w:ind w:hanging="0" w:start="0"/>
        <w:jc w:val="center"/>
        <w:textAlignment w:val="auto"/>
        <w:rPr>
          <w:rFonts w:ascii="黑体" w:hAnsi="黑体" w:eastAsia="黑体" w:cs="黑体" w:hint="eastAsia"/>
          <w:b w:val="false"/>
          <w:bCs w:val="false"/>
          <w:color w:val="000000"/>
          <w:sz w:val="32"/>
          <w:szCs w:val="32"/>
          <w:shd w:fill="FFFFFF" w:val="clear"/>
        </w:rPr>
      </w:pPr>
      <w:r>
        <w:rPr>
          <w:rFonts w:ascii="黑体" w:hAnsi="黑体" w:cs="黑体" w:hint="eastAsia" w:eastAsia="黑体"/>
          <w:b w:val="false"/>
          <w:bCs w:val="false"/>
          <w:color w:val="000000"/>
          <w:sz w:val="32"/>
          <w:szCs w:val="32"/>
          <w:shd w:fill="FFFFFF" w:val="clear"/>
        </w:rPr>
        <w:t>第八章  附则</w:t>
      </w:r>
    </w:p>
    <w:p>
      <w:pPr>
        <w:pStyle w:val="Normal"/>
        <w:pageBreakBefore w:val="false"/>
        <w:numPr>
          <w:ilvl w:val="0"/>
          <w:numId w:val="0"/>
        </w:numPr>
        <w:kinsoku w:val="true"/>
        <w:overflowPunct w:val="true"/>
        <w:autoSpaceDE w:val="true"/>
        <w:bidi w:val="0"/>
        <w:spacing w:lineRule="exact" w:line="560"/>
        <w:ind w:firstLineChars="0" w:firstLine="0" w:startChars="0" w:start="0" w:endChars="0" w:end="0"/>
        <w:textAlignment w:val="auto"/>
        <w:rPr>
          <w:rFonts w:ascii="黑体" w:hAnsi="黑体" w:eastAsia="黑体" w:cs="黑体" w:hint="eastAsia"/>
          <w:b w:val="false"/>
          <w:bCs w:val="false"/>
          <w:color w:val="000000"/>
          <w:sz w:val="32"/>
          <w:szCs w:val="32"/>
          <w:shd w:fill="FFFFFF" w:val="clear"/>
        </w:rPr>
      </w:pPr>
      <w:r>
        <w:rPr>
          <w:rFonts w:eastAsia="黑体" w:cs="黑体" w:hint="eastAsia" w:ascii="黑体" w:hAnsi="黑体"/>
          <w:b w:val="false"/>
          <w:bCs w:val="false"/>
          <w:color w:val="000000"/>
          <w:sz w:val="32"/>
          <w:szCs w:val="32"/>
          <w:shd w:fill="FFFFFF" w:val="clear"/>
        </w:rPr>
      </w:r>
    </w:p>
    <w:p>
      <w:pPr>
        <w:pStyle w:val="Normal"/>
        <w:pageBreakBefore w:val="false"/>
        <w:kinsoku w:val="true"/>
        <w:overflowPunct w:val="true"/>
        <w:autoSpaceDE w:val="true"/>
        <w:bidi w:val="0"/>
        <w:spacing w:lineRule="exact" w:line="560"/>
        <w:ind w:firstLineChars="200" w:startChars="0" w:start="0" w:endChars="0" w:end="0"/>
        <w:textAlignment w:val="auto"/>
        <w:rPr/>
      </w:pPr>
      <w:r>
        <w:rPr>
          <w:rFonts w:ascii="黑体" w:hAnsi="黑体" w:cs="黑体" w:hint="eastAsia" w:eastAsia="黑体"/>
          <w:color w:val="000000"/>
          <w:sz w:val="32"/>
          <w:szCs w:val="32"/>
        </w:rPr>
        <w:t>第六十三条</w:t>
      </w:r>
      <w:r>
        <w:rPr>
          <w:rFonts w:ascii="仿宋" w:hAnsi="仿宋" w:cs="仿宋" w:hint="eastAsia" w:eastAsia="仿宋"/>
          <w:color w:val="000000"/>
          <w:sz w:val="32"/>
          <w:szCs w:val="32"/>
        </w:rPr>
        <w:t xml:space="preserve">  </w:t>
      </w:r>
      <w:r>
        <w:rPr>
          <w:rFonts w:ascii="仿宋_GB2312;仿宋" w:hAnsi="仿宋_GB2312;仿宋" w:cs="仿宋_GB2312;仿宋" w:hint="eastAsia" w:eastAsia="仿宋_GB2312;仿宋"/>
          <w:color w:val="000000"/>
          <w:sz w:val="32"/>
          <w:szCs w:val="32"/>
        </w:rPr>
        <w:t>本条例自</w:t>
      </w:r>
      <w:r>
        <w:rPr>
          <w:rFonts w:eastAsia="仿宋_GB2312;仿宋" w:cs="仿宋_GB2312;仿宋" w:hint="eastAsia" w:ascii="仿宋_GB2312;仿宋" w:hAnsi="仿宋_GB2312;仿宋"/>
          <w:color w:val="000000"/>
          <w:sz w:val="32"/>
          <w:szCs w:val="32"/>
        </w:rPr>
        <w:t>2023</w:t>
      </w:r>
      <w:r>
        <w:rPr>
          <w:rFonts w:ascii="仿宋_GB2312;仿宋" w:hAnsi="仿宋_GB2312;仿宋" w:cs="仿宋_GB2312;仿宋" w:hint="eastAsia" w:eastAsia="仿宋_GB2312;仿宋"/>
          <w:color w:val="000000"/>
          <w:sz w:val="32"/>
          <w:szCs w:val="32"/>
        </w:rPr>
        <w:t>年</w:t>
      </w:r>
      <w:r>
        <w:rPr>
          <w:rFonts w:eastAsia="仿宋_GB2312;仿宋" w:cs="仿宋_GB2312;仿宋" w:hint="eastAsia" w:ascii="仿宋_GB2312;仿宋" w:hAnsi="仿宋_GB2312;仿宋"/>
          <w:color w:val="000000"/>
          <w:sz w:val="32"/>
          <w:szCs w:val="32"/>
        </w:rPr>
        <w:t>2</w:t>
      </w:r>
      <w:r>
        <w:rPr>
          <w:rFonts w:ascii="仿宋_GB2312;仿宋" w:hAnsi="仿宋_GB2312;仿宋" w:cs="仿宋_GB2312;仿宋" w:hint="eastAsia" w:eastAsia="仿宋_GB2312;仿宋"/>
          <w:color w:val="000000"/>
          <w:sz w:val="32"/>
          <w:szCs w:val="32"/>
        </w:rPr>
        <w:t>月</w:t>
      </w:r>
      <w:r>
        <w:rPr>
          <w:rFonts w:eastAsia="仿宋_GB2312;仿宋" w:cs="仿宋_GB2312;仿宋" w:hint="eastAsia" w:ascii="仿宋_GB2312;仿宋" w:hAnsi="仿宋_GB2312;仿宋"/>
          <w:color w:val="000000"/>
          <w:sz w:val="32"/>
          <w:szCs w:val="32"/>
        </w:rPr>
        <w:t>1</w:t>
      </w:r>
      <w:r>
        <w:rPr>
          <w:rFonts w:ascii="仿宋_GB2312;仿宋" w:hAnsi="仿宋_GB2312;仿宋" w:cs="仿宋_GB2312;仿宋" w:hint="eastAsia" w:eastAsia="仿宋_GB2312;仿宋"/>
          <w:color w:val="000000"/>
          <w:sz w:val="32"/>
          <w:szCs w:val="32"/>
        </w:rPr>
        <w:t>日起施行。</w:t>
      </w:r>
    </w:p>
    <w:sectPr>
      <w:footerReference w:type="default" r:id="rId2"/>
      <w:type w:val="nextPage"/>
      <w:pgSz w:w="11906" w:h="16838"/>
      <w:pgMar w:left="1587" w:right="1474" w:gutter="0" w:header="0" w:top="2098" w:footer="992" w:bottom="1984"/>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ˎ̥">
    <w:altName w:val="微软雅黑"/>
    <w:charset w:val="00" w:characterSet="windows-1252"/>
    <w:family w:val="roman"/>
    <w:pitch w:val="default"/>
  </w:font>
  <w:font w:name="Liberation Sans">
    <w:altName w:val="Arial"/>
    <w:charset w:val="01" w:characterSet="utf-8"/>
    <w:family w:val="swiss"/>
    <w:pitch w:val="variable"/>
  </w:font>
  <w:font w:name="Times New Roman">
    <w:charset w:val="00" w:characterSet="windows-1252"/>
    <w:family w:val="roman"/>
    <w:pitch w:val="default"/>
  </w:font>
  <w:font w:name="宋体">
    <w:charset w:val="86"/>
    <w:family w:val="auto"/>
    <w:pitch w:val="default"/>
  </w:font>
  <w:font w:name="楷体_GB2312">
    <w:altName w:val="楷体"/>
    <w:charset w:val="86"/>
    <w:family w:val="modern"/>
    <w:pitch w:val="default"/>
  </w:font>
  <w:font w:name="黑体">
    <w:charset w:val="86"/>
    <w:family w:val="auto"/>
    <w:pitch w:val="default"/>
  </w:font>
  <w:font w:name="仿宋_GB2312">
    <w:altName w:val="仿宋"/>
    <w:charset w:val="86"/>
    <w:family w:val="modern"/>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26" behindDoc="1" locked="0" layoutInCell="0" allowOverlap="1">
              <wp:simplePos x="0" y="0"/>
              <wp:positionH relativeFrom="margin">
                <wp:align>outside</wp:align>
              </wp:positionH>
              <wp:positionV relativeFrom="paragraph">
                <wp:posOffset>635</wp:posOffset>
              </wp:positionV>
              <wp:extent cx="453390" cy="218440"/>
              <wp:effectExtent l="0" t="0" r="0" b="0"/>
              <wp:wrapNone/>
              <wp:docPr id="1" name="Frame1"/>
              <a:graphic xmlns:a="http://schemas.openxmlformats.org/drawingml/2006/main">
                <a:graphicData uri="http://schemas.microsoft.com/office/word/2010/wordprocessingShape">
                  <wps:wsp>
                    <wps:cNvSpPr txBox="1"/>
                    <wps:spPr>
                      <a:xfrm>
                        <a:off x="0" y="0"/>
                        <a:ext cx="453390" cy="218440"/>
                      </a:xfrm>
                      <a:prstGeom prst="rect"/>
                      <a:solidFill>
                        <a:srgbClr val="FFFFFF">
                          <a:alpha val="0"/>
                        </a:srgbClr>
                      </a:solidFill>
                    </wps:spPr>
                    <wps:txbx>
                      <w:txbxContent>
                        <w:p>
                          <w:pPr>
                            <w:pStyle w:val="Footer"/>
                            <w:rPr/>
                          </w:pPr>
                          <w:r>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25</w:t>
                          </w:r>
                          <w:r>
                            <w:rPr>
                              <w:sz w:val="28"/>
                              <w:szCs w:val="28"/>
                            </w:rPr>
                            <w:fldChar w:fldCharType="end"/>
                          </w:r>
                          <w:r>
                            <w:rPr>
                              <w:sz w:val="28"/>
                              <w:szCs w:val="28"/>
                            </w:rPr>
                            <w:t xml:space="preserve"> </w:t>
                          </w:r>
                          <w:r>
                            <w:rPr/>
                            <w:t>—</w:t>
                          </w:r>
                        </w:p>
                      </w:txbxContent>
                    </wps:txbx>
                    <wps:bodyPr anchor="t" lIns="635" tIns="635" rIns="635" bIns="635">
                      <a:spAutoFit/>
                    </wps:bodyPr>
                  </wps:wsp>
                </a:graphicData>
              </a:graphic>
            </wp:anchor>
          </w:drawing>
        </mc:Choice>
        <mc:Fallback>
          <w:pict>
            <v:rect fillcolor="#FFFFFF" style="position:absolute;rotation:-0;width:35.7pt;height:17.2pt;mso-wrap-distance-left:9.05pt;mso-wrap-distance-right:0pt;mso-wrap-distance-top:0pt;mso-wrap-distance-bottom:0pt;margin-top:0pt;mso-position-vertical-relative:text;margin-left:406.55pt;mso-position-horizontal:outside;mso-position-horizontal-relative:margin">
              <v:fill opacity="0f"/>
              <v:textbox inset="0.000694444444444445in,0.000694444444444445in,0.000694444444444445in,0.000694444444444445in">
                <w:txbxContent>
                  <w:p>
                    <w:pPr>
                      <w:pStyle w:val="Footer"/>
                      <w:rPr/>
                    </w:pPr>
                    <w:r>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25</w:t>
                    </w:r>
                    <w:r>
                      <w:rPr>
                        <w:sz w:val="28"/>
                        <w:szCs w:val="28"/>
                      </w:rPr>
                      <w:fldChar w:fldCharType="end"/>
                    </w:r>
                    <w:r>
                      <w:rPr>
                        <w:sz w:val="28"/>
                        <w:szCs w:val="28"/>
                      </w:rPr>
                      <w:t xml:space="preserve"> </w:t>
                    </w:r>
                    <w:r>
                      <w:rPr/>
                      <w:t>—</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NDY2MmM5OGUwOGYyZjE4ZDJkZGIwMDFmMGVkMjI4Y2I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
    <w:qFormat/>
    <w:pPr>
      <w:widowControl w:val="false"/>
      <w:bidi w:val="0"/>
      <w:jc w:val="both"/>
    </w:pPr>
    <w:rPr>
      <w:rFonts w:ascii="Calibri" w:hAnsi="Calibri" w:eastAsia="宋体" w:cs="Times New Roman"/>
      <w:color w:val="auto"/>
      <w:kern w:val="2"/>
      <w:sz w:val="21"/>
      <w:szCs w:val="22"/>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character" w:styleId="Style13">
    <w:name w:val="默认段落字体"/>
    <w:qFormat/>
    <w:rPr/>
  </w:style>
  <w:style w:type="character" w:styleId="Hyperlink">
    <w:name w:val="Hyperlink"/>
    <w:rPr>
      <w:rFonts w:ascii="ˎ̥;微软雅黑" w:hAnsi="ˎ̥;微软雅黑" w:cs="ˎ̥;微软雅黑"/>
      <w:color w:val="0404B3"/>
      <w:sz w:val="18"/>
      <w:szCs w:val="18"/>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2">
    <w:name w:val="正文首行缩进 2"/>
    <w:qFormat/>
    <w:pPr>
      <w:widowControl w:val="false"/>
      <w:bidi w:val="0"/>
      <w:ind w:firstLine="960" w:start="0" w:end="0"/>
      <w:jc w:val="both"/>
    </w:pPr>
    <w:rPr>
      <w:rFonts w:ascii="Times New Roman" w:hAnsi="Times New Roman" w:eastAsia="宋体" w:cs="Times New Roman"/>
      <w:color w:val="auto"/>
      <w:kern w:val="2"/>
      <w:sz w:val="32"/>
      <w:szCs w:val="24"/>
      <w:lang w:val="en-US" w:eastAsia="zh-CN" w:bidi="hi-IN"/>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4">
    <w:name w:val="普通(网站)"/>
    <w:basedOn w:val="Normal"/>
    <w:qFormat/>
    <w:pPr>
      <w:spacing w:before="280" w:after="280"/>
      <w:jc w:val="start"/>
    </w:pPr>
    <w:rPr>
      <w:rFonts w:cs="Times New Roman"/>
      <w:kern w:val="0"/>
      <w:sz w:val="24"/>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10560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2022-11-16T15:57:00Z</dcterms:created>
  <dc:creator>user</dc:creator>
  <dc:description/>
  <dc:language>en-US</dc:language>
  <cp:lastModifiedBy>Administrator</cp:lastModifiedBy>
  <cp:lastPrinted>2022-12-06T14:05:00Z</cp:lastPrinted>
  <dcterms:modified xsi:type="dcterms:W3CDTF">2022-12-15T15:12:59Z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C4FCC9248FB7473C9D87A5B824C9A9F2</vt:lpwstr>
  </property>
  <property fmtid="{D5CDD505-2E9C-101B-9397-08002B2CF9AE}" pid="3" name="KSOProductBuildVer">
    <vt:lpwstr>2052-11.1.0.12651</vt:lpwstr>
  </property>
</Properties>
</file>