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
          <w:bCs w:val="false"/>
          <w:sz w:val="32"/>
          <w:szCs w:val="32"/>
        </w:rPr>
      </w:pPr>
      <w:r>
        <w:rPr>
          <w:rFonts w:eastAsia="宋体" w:cs="宋体" w:hint="eastAsia" w:ascii="宋体" w:hAnsi="宋体"/>
          <w:b/>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
          <w:bCs w:val="false"/>
          <w:sz w:val="32"/>
          <w:szCs w:val="32"/>
        </w:rPr>
      </w:pPr>
      <w:r>
        <w:rPr>
          <w:rFonts w:eastAsia="宋体" w:cs="宋体" w:hint="eastAsia" w:ascii="宋体" w:hAnsi="宋体"/>
          <w:b/>
          <w:bCs w:val="false"/>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Cs/>
          <w:color w:val="000000"/>
          <w:sz w:val="44"/>
          <w:szCs w:val="44"/>
        </w:rPr>
      </w:pPr>
      <w:r>
        <w:rPr>
          <w:rFonts w:ascii="宋体" w:hAnsi="宋体" w:cs="宋体" w:hint="eastAsia" w:eastAsia="宋体"/>
          <w:b/>
          <w:bCs/>
          <w:color w:val="000000"/>
          <w:sz w:val="44"/>
          <w:szCs w:val="44"/>
        </w:rPr>
        <w:t>白山市生态文明建设促进条例</w:t>
      </w:r>
    </w:p>
    <w:p>
      <w:pPr>
        <w:pStyle w:val="New"/>
        <w:keepNext w:val="false"/>
        <w:keepLines w:val="false"/>
        <w:pageBreakBefore w:val="false"/>
        <w:widowControl w:val="false"/>
        <w:kinsoku w:val="true"/>
        <w:overflowPunct w:val="true"/>
        <w:autoSpaceDE w:val="true"/>
        <w:bidi w:val="0"/>
        <w:snapToGrid w:val="true"/>
        <w:spacing w:lineRule="auto" w:line="240"/>
        <w:jc w:val="both"/>
        <w:textAlignment w:val="auto"/>
        <w:rPr>
          <w:rFonts w:ascii="楷体_GB2312" w:hAnsi="楷体_GB2312" w:eastAsia="楷体_GB2312" w:cs="楷体_GB2312" w:hint="eastAsia"/>
          <w:b/>
          <w:bCs/>
          <w:color w:val="000000"/>
          <w:spacing w:val="2"/>
          <w:w w:val="80"/>
          <w:kern w:val="0"/>
          <w:sz w:val="32"/>
          <w:szCs w:val="32"/>
          <w:shd w:fill="FFFFFF" w:val="clear"/>
        </w:rPr>
      </w:pPr>
      <w:r>
        <w:rPr>
          <w:rFonts w:eastAsia="楷体_GB2312" w:cs="楷体_GB2312" w:hint="eastAsia" w:ascii="楷体_GB2312" w:hAnsi="楷体_GB2312"/>
          <w:b/>
          <w:bCs/>
          <w:color w:val="000000"/>
          <w:spacing w:val="2"/>
          <w:w w:val="80"/>
          <w:kern w:val="0"/>
          <w:sz w:val="32"/>
          <w:szCs w:val="32"/>
          <w:shd w:fill="FFFFFF" w:val="clear"/>
        </w:rPr>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b/>
          <w:bCs/>
          <w:spacing w:val="2"/>
          <w:w w:val="80"/>
          <w:kern w:val="0"/>
          <w:sz w:val="32"/>
          <w:szCs w:val="32"/>
          <w:shd w:fill="FFFFFF" w:val="clear"/>
        </w:rPr>
        <w:t>（</w:t>
      </w:r>
      <w:r>
        <w:rPr>
          <w:rFonts w:eastAsia="楷体_GB2312" w:cs="楷体_GB2312" w:hint="eastAsia" w:ascii="楷体_GB2312" w:hAnsi="楷体_GB2312"/>
          <w:spacing w:val="2"/>
          <w:w w:val="80"/>
          <w:kern w:val="0"/>
          <w:sz w:val="32"/>
          <w:szCs w:val="32"/>
        </w:rPr>
        <w:t>2019</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5</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24</w:t>
      </w:r>
      <w:r>
        <w:rPr>
          <w:rFonts w:ascii="楷体_GB2312" w:hAnsi="楷体_GB2312" w:cs="楷体_GB2312" w:hint="eastAsia" w:eastAsia="楷体_GB2312"/>
          <w:spacing w:val="2"/>
          <w:w w:val="80"/>
          <w:kern w:val="0"/>
          <w:sz w:val="32"/>
          <w:szCs w:val="32"/>
        </w:rPr>
        <w:t>日白山市第八届人民代表大会常务委员会第二十一次</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 xml:space="preserve">会议通过   </w:t>
      </w:r>
      <w:r>
        <w:rPr>
          <w:rFonts w:eastAsia="楷体_GB2312" w:cs="楷体_GB2312" w:hint="eastAsia" w:ascii="楷体_GB2312" w:hAnsi="楷体_GB2312"/>
          <w:spacing w:val="2"/>
          <w:w w:val="80"/>
          <w:kern w:val="0"/>
          <w:sz w:val="32"/>
          <w:szCs w:val="32"/>
        </w:rPr>
        <w:t>2019</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8</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1</w:t>
      </w:r>
      <w:r>
        <w:rPr>
          <w:rFonts w:ascii="楷体_GB2312" w:hAnsi="楷体_GB2312" w:cs="楷体_GB2312" w:hint="eastAsia" w:eastAsia="楷体_GB2312"/>
          <w:spacing w:val="2"/>
          <w:w w:val="80"/>
          <w:kern w:val="0"/>
          <w:sz w:val="32"/>
          <w:szCs w:val="32"/>
        </w:rPr>
        <w:t>日吉林省第十三届人民代表大会常务委员会</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第十三次会议批准）</w:t>
      </w:r>
    </w:p>
    <w:p>
      <w:pPr>
        <w:pStyle w:val="Normal"/>
        <w:keepNext w:val="false"/>
        <w:keepLines w:val="false"/>
        <w:pageBreakBefore w:val="false"/>
        <w:widowControl w:val="false"/>
        <w:numPr>
          <w:ilvl w:val="0"/>
          <w:numId w:val="0"/>
        </w:numPr>
        <w:tabs>
          <w:tab w:val="clear" w:pos="420"/>
          <w:tab w:val="left" w:pos="4884" w:leader="none"/>
        </w:tabs>
        <w:kinsoku w:val="true"/>
        <w:overflowPunct w:val="true"/>
        <w:autoSpaceDE w:val="true"/>
        <w:bidi w:val="0"/>
        <w:snapToGrid w:val="true"/>
        <w:spacing w:lineRule="auto" w:line="240"/>
        <w:ind w:hanging="0" w:start="0"/>
        <w:jc w:val="center"/>
        <w:textAlignment w:val="auto"/>
        <w:rPr>
          <w:rFonts w:ascii="楷体_GB2312" w:hAnsi="楷体_GB2312" w:eastAsia="楷体_GB2312" w:cs="楷体_GB2312" w:hint="eastAsia"/>
          <w:bCs/>
          <w:spacing w:val="2"/>
          <w:w w:val="80"/>
          <w:kern w:val="0"/>
          <w:sz w:val="32"/>
          <w:szCs w:val="34"/>
        </w:rPr>
      </w:pPr>
      <w:r>
        <w:rPr>
          <w:rFonts w:eastAsia="楷体_GB2312" w:cs="楷体_GB2312" w:hint="eastAsia" w:ascii="楷体_GB2312" w:hAnsi="楷体_GB2312"/>
          <w:bCs/>
          <w:spacing w:val="2"/>
          <w:w w:val="80"/>
          <w:kern w:val="0"/>
          <w:sz w:val="32"/>
          <w:szCs w:val="34"/>
        </w:rPr>
      </w:r>
    </w:p>
    <w:p>
      <w:pPr>
        <w:pStyle w:val="Normal"/>
        <w:keepNext w:val="false"/>
        <w:keepLines w:val="false"/>
        <w:pageBreakBefore w:val="false"/>
        <w:widowControl w:val="false"/>
        <w:numPr>
          <w:ilvl w:val="0"/>
          <w:numId w:val="0"/>
        </w:numPr>
        <w:tabs>
          <w:tab w:val="clear" w:pos="420"/>
          <w:tab w:val="left" w:pos="4884" w:leader="none"/>
        </w:tabs>
        <w:kinsoku w:val="true"/>
        <w:overflowPunct w:val="true"/>
        <w:autoSpaceDE w:val="true"/>
        <w:bidi w:val="0"/>
        <w:snapToGrid w:val="true"/>
        <w:spacing w:lineRule="auto" w:line="240"/>
        <w:ind w:hanging="0" w:start="0"/>
        <w:jc w:val="center"/>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目    录</w:t>
      </w:r>
    </w:p>
    <w:p>
      <w:pPr>
        <w:pStyle w:val="Normal"/>
        <w:keepNext w:val="false"/>
        <w:keepLines w:val="false"/>
        <w:pageBreakBefore w:val="false"/>
        <w:widowControl w:val="false"/>
        <w:numPr>
          <w:ilvl w:val="0"/>
          <w:numId w:val="0"/>
        </w:numPr>
        <w:tabs>
          <w:tab w:val="clear" w:pos="420"/>
          <w:tab w:val="left" w:pos="4884" w:leader="none"/>
        </w:tabs>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第一章  总则</w:t>
      </w:r>
    </w:p>
    <w:p>
      <w:pPr>
        <w:pStyle w:val="Normal"/>
        <w:keepNext w:val="false"/>
        <w:keepLines w:val="false"/>
        <w:pageBreakBefore w:val="false"/>
        <w:widowControl w:val="false"/>
        <w:numPr>
          <w:ilvl w:val="0"/>
          <w:numId w:val="0"/>
        </w:numPr>
        <w:tabs>
          <w:tab w:val="clear" w:pos="420"/>
          <w:tab w:val="left" w:pos="4884" w:leader="none"/>
        </w:tabs>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bCs/>
          <w:color w:val="000000"/>
          <w:sz w:val="32"/>
          <w:szCs w:val="32"/>
        </w:rPr>
      </w:pPr>
      <w:r>
        <w:rPr>
          <w:rFonts w:ascii="楷体_GB2312" w:hAnsi="楷体_GB2312" w:cs="楷体_GB2312" w:hint="eastAsia" w:eastAsia="楷体_GB2312"/>
          <w:bCs/>
          <w:color w:val="000000"/>
          <w:sz w:val="32"/>
          <w:szCs w:val="32"/>
        </w:rPr>
        <w:t>第二章  生态规划编制</w:t>
      </w:r>
    </w:p>
    <w:p>
      <w:pPr>
        <w:pStyle w:val="Normal"/>
        <w:keepNext w:val="false"/>
        <w:keepLines w:val="false"/>
        <w:pageBreakBefore w:val="false"/>
        <w:widowControl w:val="false"/>
        <w:numPr>
          <w:ilvl w:val="0"/>
          <w:numId w:val="0"/>
        </w:numPr>
        <w:tabs>
          <w:tab w:val="clear" w:pos="420"/>
          <w:tab w:val="left" w:pos="4884" w:leader="none"/>
        </w:tabs>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bCs/>
          <w:color w:val="000000"/>
          <w:sz w:val="32"/>
          <w:szCs w:val="32"/>
        </w:rPr>
      </w:pPr>
      <w:r>
        <w:rPr>
          <w:rFonts w:ascii="楷体_GB2312" w:hAnsi="楷体_GB2312" w:cs="楷体_GB2312" w:hint="eastAsia" w:eastAsia="楷体_GB2312"/>
          <w:bCs/>
          <w:color w:val="000000"/>
          <w:sz w:val="32"/>
          <w:szCs w:val="32"/>
        </w:rPr>
        <w:t>第三章  生态经济建设</w:t>
      </w:r>
    </w:p>
    <w:p>
      <w:pPr>
        <w:pStyle w:val="Normal"/>
        <w:keepNext w:val="false"/>
        <w:keepLines w:val="false"/>
        <w:pageBreakBefore w:val="false"/>
        <w:widowControl w:val="false"/>
        <w:numPr>
          <w:ilvl w:val="0"/>
          <w:numId w:val="0"/>
        </w:numPr>
        <w:tabs>
          <w:tab w:val="clear" w:pos="420"/>
          <w:tab w:val="left" w:pos="4884" w:leader="none"/>
        </w:tabs>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bCs/>
          <w:color w:val="000000"/>
          <w:sz w:val="32"/>
          <w:szCs w:val="32"/>
        </w:rPr>
      </w:pPr>
      <w:r>
        <w:rPr>
          <w:rFonts w:ascii="楷体_GB2312" w:hAnsi="楷体_GB2312" w:cs="楷体_GB2312" w:hint="eastAsia" w:eastAsia="楷体_GB2312"/>
          <w:bCs/>
          <w:color w:val="000000"/>
          <w:sz w:val="32"/>
          <w:szCs w:val="32"/>
        </w:rPr>
        <w:t>第四章  生态环境保护</w:t>
      </w:r>
    </w:p>
    <w:p>
      <w:pPr>
        <w:pStyle w:val="Normal"/>
        <w:keepNext w:val="false"/>
        <w:keepLines w:val="false"/>
        <w:pageBreakBefore w:val="false"/>
        <w:widowControl w:val="false"/>
        <w:numPr>
          <w:ilvl w:val="0"/>
          <w:numId w:val="0"/>
        </w:numPr>
        <w:tabs>
          <w:tab w:val="clear" w:pos="420"/>
          <w:tab w:val="left" w:pos="4884" w:leader="none"/>
        </w:tabs>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bCs/>
          <w:color w:val="000000"/>
          <w:sz w:val="32"/>
          <w:szCs w:val="32"/>
        </w:rPr>
      </w:pPr>
      <w:r>
        <w:rPr>
          <w:rFonts w:ascii="楷体_GB2312" w:hAnsi="楷体_GB2312" w:cs="楷体_GB2312" w:hint="eastAsia" w:eastAsia="楷体_GB2312"/>
          <w:bCs/>
          <w:color w:val="000000"/>
          <w:sz w:val="32"/>
          <w:szCs w:val="32"/>
        </w:rPr>
        <w:t>第五章  生态文化培育</w:t>
      </w:r>
    </w:p>
    <w:p>
      <w:pPr>
        <w:pStyle w:val="Normal"/>
        <w:keepNext w:val="false"/>
        <w:keepLines w:val="false"/>
        <w:pageBreakBefore w:val="false"/>
        <w:widowControl w:val="false"/>
        <w:numPr>
          <w:ilvl w:val="0"/>
          <w:numId w:val="0"/>
        </w:numPr>
        <w:tabs>
          <w:tab w:val="clear" w:pos="420"/>
          <w:tab w:val="left" w:pos="4884" w:leader="none"/>
        </w:tabs>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bCs/>
          <w:color w:val="000000"/>
          <w:sz w:val="32"/>
          <w:szCs w:val="32"/>
        </w:rPr>
      </w:pPr>
      <w:r>
        <w:rPr>
          <w:rFonts w:ascii="楷体_GB2312" w:hAnsi="楷体_GB2312" w:cs="楷体_GB2312" w:hint="eastAsia" w:eastAsia="楷体_GB2312"/>
          <w:bCs/>
          <w:color w:val="000000"/>
          <w:sz w:val="32"/>
          <w:szCs w:val="32"/>
        </w:rPr>
        <w:t>第六章  保障与促进</w:t>
      </w:r>
    </w:p>
    <w:p>
      <w:pPr>
        <w:pStyle w:val="Normal"/>
        <w:keepNext w:val="false"/>
        <w:keepLines w:val="false"/>
        <w:pageBreakBefore w:val="false"/>
        <w:widowControl w:val="false"/>
        <w:numPr>
          <w:ilvl w:val="0"/>
          <w:numId w:val="0"/>
        </w:numPr>
        <w:tabs>
          <w:tab w:val="clear" w:pos="420"/>
          <w:tab w:val="left" w:pos="4884" w:leader="none"/>
        </w:tabs>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bCs/>
          <w:color w:val="000000"/>
          <w:sz w:val="32"/>
          <w:szCs w:val="32"/>
        </w:rPr>
      </w:pPr>
      <w:r>
        <w:rPr>
          <w:rFonts w:ascii="楷体_GB2312" w:hAnsi="楷体_GB2312" w:cs="楷体_GB2312" w:hint="eastAsia" w:eastAsia="楷体_GB2312"/>
          <w:bCs/>
          <w:color w:val="000000"/>
          <w:sz w:val="32"/>
          <w:szCs w:val="32"/>
        </w:rPr>
        <w:t>第七章  监督与考核</w:t>
      </w:r>
    </w:p>
    <w:p>
      <w:pPr>
        <w:pStyle w:val="Normal"/>
        <w:keepNext w:val="false"/>
        <w:keepLines w:val="false"/>
        <w:pageBreakBefore w:val="false"/>
        <w:widowControl w:val="false"/>
        <w:numPr>
          <w:ilvl w:val="0"/>
          <w:numId w:val="0"/>
        </w:numPr>
        <w:tabs>
          <w:tab w:val="clear" w:pos="420"/>
          <w:tab w:val="left" w:pos="4884" w:leader="none"/>
        </w:tabs>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bCs/>
          <w:color w:val="000000"/>
          <w:sz w:val="32"/>
          <w:szCs w:val="32"/>
        </w:rPr>
      </w:pPr>
      <w:r>
        <w:rPr>
          <w:rFonts w:ascii="楷体_GB2312" w:hAnsi="楷体_GB2312" w:cs="楷体_GB2312" w:hint="eastAsia" w:eastAsia="楷体_GB2312"/>
          <w:bCs/>
          <w:color w:val="000000"/>
          <w:sz w:val="32"/>
          <w:szCs w:val="32"/>
        </w:rPr>
        <w:t>第八章  法律责任</w:t>
      </w:r>
    </w:p>
    <w:p>
      <w:pPr>
        <w:pStyle w:val="Normal"/>
        <w:keepNext w:val="false"/>
        <w:keepLines w:val="false"/>
        <w:pageBreakBefore w:val="false"/>
        <w:widowControl w:val="false"/>
        <w:numPr>
          <w:ilvl w:val="0"/>
          <w:numId w:val="0"/>
        </w:numPr>
        <w:tabs>
          <w:tab w:val="clear" w:pos="420"/>
          <w:tab w:val="left" w:pos="4884" w:leader="none"/>
        </w:tabs>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bCs/>
          <w:color w:val="000000"/>
          <w:sz w:val="32"/>
          <w:szCs w:val="32"/>
        </w:rPr>
      </w:pPr>
      <w:r>
        <w:rPr>
          <w:rFonts w:ascii="楷体_GB2312" w:hAnsi="楷体_GB2312" w:cs="楷体_GB2312" w:hint="eastAsia" w:eastAsia="楷体_GB2312"/>
          <w:bCs/>
          <w:color w:val="000000"/>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第一</w:t>
      </w:r>
      <w:r>
        <w:rPr>
          <w:rFonts w:ascii="黑体" w:hAnsi="黑体" w:cs="黑体" w:hint="eastAsia" w:eastAsia="黑体"/>
          <w:b w:val="false"/>
          <w:bCs w:val="false"/>
          <w:color w:val="000000"/>
          <w:kern w:val="0"/>
          <w:sz w:val="32"/>
          <w:szCs w:val="32"/>
        </w:rPr>
        <w:t>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bCs/>
          <w:color w:val="000000"/>
          <w:kern w:val="0"/>
          <w:sz w:val="32"/>
          <w:szCs w:val="32"/>
        </w:rPr>
      </w:pPr>
      <w:r>
        <w:rPr>
          <w:rFonts w:eastAsia="仿宋_GB2312" w:cs="仿宋_GB2312" w:hint="eastAsia" w:ascii="仿宋_GB2312" w:hAnsi="仿宋_GB2312"/>
          <w:b/>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sz w:val="32"/>
          <w:szCs w:val="32"/>
        </w:rPr>
        <w:t xml:space="preserve">第一条 </w:t>
      </w:r>
      <w:r>
        <w:rPr>
          <w:rFonts w:ascii="仿宋_GB2312" w:hAnsi="仿宋_GB2312" w:cs="仿宋_GB2312" w:hint="eastAsia"/>
          <w:b/>
          <w:bCs/>
          <w:color w:val="000000"/>
          <w:kern w:val="0"/>
          <w:sz w:val="32"/>
          <w:szCs w:val="32"/>
        </w:rPr>
        <w:t xml:space="preserve"> </w:t>
      </w:r>
      <w:r>
        <w:rPr>
          <w:rFonts w:ascii="仿宋_GB2312" w:hAnsi="仿宋_GB2312" w:cs="仿宋_GB2312" w:hint="eastAsia"/>
          <w:color w:val="000000"/>
          <w:kern w:val="0"/>
          <w:sz w:val="32"/>
          <w:szCs w:val="32"/>
        </w:rPr>
        <w:t>为了加强生态文明建设，促进人与自然和谐共生</w:t>
      </w:r>
      <w:r>
        <w:rPr>
          <w:rFonts w:eastAsia="仿宋_GB2312" w:cs="仿宋_GB2312" w:hint="eastAsia" w:ascii="仿宋_GB2312" w:hAnsi="仿宋_GB2312"/>
          <w:color w:val="000000"/>
          <w:kern w:val="0"/>
          <w:sz w:val="32"/>
          <w:szCs w:val="32"/>
        </w:rPr>
        <w:t>,</w:t>
      </w:r>
      <w:r>
        <w:rPr>
          <w:rFonts w:ascii="仿宋_GB2312" w:hAnsi="仿宋_GB2312" w:cs="仿宋_GB2312" w:hint="eastAsia"/>
          <w:color w:val="000000"/>
          <w:kern w:val="0"/>
          <w:sz w:val="32"/>
          <w:szCs w:val="32"/>
        </w:rPr>
        <w:t>推动经济社会可持续发展，建设美丽白山，根据有关法律法规，结合实际，制定本条例。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sz w:val="32"/>
          <w:szCs w:val="32"/>
        </w:rPr>
        <w:t>第二条</w:t>
      </w:r>
      <w:r>
        <w:rPr>
          <w:rFonts w:ascii="仿宋_GB2312" w:hAnsi="仿宋_GB2312" w:cs="仿宋_GB2312" w:hint="eastAsia"/>
          <w:b/>
          <w:bCs/>
          <w:color w:val="000000"/>
          <w:kern w:val="0"/>
          <w:sz w:val="32"/>
          <w:szCs w:val="32"/>
        </w:rPr>
        <w:t xml:space="preserve"> </w:t>
      </w:r>
      <w:r>
        <w:rPr>
          <w:rFonts w:ascii="仿宋_GB2312" w:hAnsi="仿宋_GB2312" w:cs="仿宋_GB2312" w:hint="eastAsia"/>
          <w:b/>
          <w:bCs/>
          <w:color w:val="000000"/>
          <w:kern w:val="0"/>
          <w:sz w:val="32"/>
          <w:szCs w:val="32"/>
        </w:rPr>
        <w:t xml:space="preserve"> </w:t>
      </w:r>
      <w:r>
        <w:rPr>
          <w:rFonts w:ascii="仿宋_GB2312" w:hAnsi="仿宋_GB2312" w:cs="仿宋_GB2312" w:hint="eastAsia"/>
          <w:color w:val="000000"/>
          <w:kern w:val="0"/>
          <w:sz w:val="32"/>
          <w:szCs w:val="32"/>
        </w:rPr>
        <w:t>本市行政区域内的生态文明建设，适用本条例。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sz w:val="32"/>
          <w:szCs w:val="32"/>
        </w:rPr>
        <w:t xml:space="preserve">第三条 </w:t>
      </w:r>
      <w:r>
        <w:rPr>
          <w:rFonts w:ascii="仿宋_GB2312" w:hAnsi="仿宋_GB2312" w:cs="仿宋_GB2312" w:hint="eastAsia"/>
          <w:b/>
          <w:bCs/>
          <w:color w:val="000000"/>
          <w:kern w:val="0"/>
          <w:sz w:val="32"/>
          <w:szCs w:val="32"/>
        </w:rPr>
        <w:t xml:space="preserve"> </w:t>
      </w:r>
      <w:r>
        <w:rPr>
          <w:rFonts w:ascii="仿宋_GB2312" w:hAnsi="仿宋_GB2312" w:cs="仿宋_GB2312" w:hint="eastAsia"/>
          <w:color w:val="000000"/>
          <w:kern w:val="0"/>
          <w:sz w:val="32"/>
          <w:szCs w:val="32"/>
        </w:rPr>
        <w:t>本条例所称生态文明，是指以尊重自然、顺应自然和保护自然为理念，遵循人与自然和谐发展的客观规律，实现人与自然和谐共生、良性循环、全面发展、持续繁荣的社会形态。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本条例所称生态文明建设，是指为实现生态文明而从事的各项建设及其相关活动。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sz w:val="32"/>
          <w:szCs w:val="32"/>
        </w:rPr>
        <w:t xml:space="preserve">第四条 </w:t>
      </w:r>
      <w:r>
        <w:rPr>
          <w:rFonts w:ascii="仿宋_GB2312" w:hAnsi="仿宋_GB2312" w:cs="仿宋_GB2312" w:hint="eastAsia"/>
          <w:b/>
          <w:bCs/>
          <w:color w:val="000000"/>
          <w:kern w:val="0"/>
          <w:sz w:val="32"/>
          <w:szCs w:val="32"/>
        </w:rPr>
        <w:t xml:space="preserve"> </w:t>
      </w:r>
      <w:r>
        <w:rPr>
          <w:rFonts w:ascii="仿宋_GB2312" w:hAnsi="仿宋_GB2312" w:cs="仿宋_GB2312" w:hint="eastAsia"/>
          <w:color w:val="000000"/>
          <w:kern w:val="0"/>
          <w:sz w:val="32"/>
          <w:szCs w:val="32"/>
        </w:rPr>
        <w:t>生态文明建设应当坚持节约优先、保护优先、预防为主、综合治理、损害担责的原则，坚持绿色、循环、低碳发展的基本途径，运用统筹规划、城乡并重、全民参与、法治保障等手段，正确处理保护修复与发展的关系，把生态文明建设融入绿色转型全面振兴高质量发展各个方面与全过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sz w:val="32"/>
          <w:szCs w:val="32"/>
        </w:rPr>
        <w:t xml:space="preserve">第五条 </w:t>
      </w:r>
      <w:r>
        <w:rPr>
          <w:rFonts w:ascii="仿宋_GB2312" w:hAnsi="仿宋_GB2312" w:cs="仿宋_GB2312" w:hint="eastAsia"/>
          <w:color w:val="000000"/>
          <w:sz w:val="32"/>
          <w:szCs w:val="32"/>
        </w:rPr>
        <w:t xml:space="preserve"> </w:t>
      </w:r>
      <w:r>
        <w:rPr>
          <w:rFonts w:ascii="仿宋_GB2312" w:hAnsi="仿宋_GB2312" w:cs="仿宋_GB2312" w:hint="eastAsia"/>
          <w:color w:val="000000"/>
          <w:kern w:val="0"/>
          <w:sz w:val="32"/>
          <w:szCs w:val="32"/>
        </w:rPr>
        <w:t>市人民政府应当将生态文明建设放在突出的战略位置，统一领导、统筹规划、组织协调、监督考核生态文明建设工作</w:t>
      </w:r>
      <w:r>
        <w:rPr>
          <w:rFonts w:ascii="仿宋_GB2312" w:hAnsi="仿宋_GB2312" w:cs="仿宋_GB2312" w:hint="eastAsia"/>
          <w:color w:val="000000"/>
          <w:kern w:val="0"/>
          <w:sz w:val="32"/>
          <w:szCs w:val="32"/>
        </w:rPr>
        <w:t>，保障全市生态文明建设有序推进</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县（市、区）人民政府负责组织、协调、实施本行政区域的生态文明建设工作。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市、县（市、区）人民政府应当建立生态文明建设协调机构，负责生态文明建设日常工作。</w:t>
      </w:r>
      <w:r>
        <w:rPr>
          <w:rFonts w:ascii="仿宋_GB2312" w:hAnsi="仿宋_GB2312" w:cs="仿宋_GB2312" w:hint="eastAsia"/>
          <w:color w:val="000000"/>
          <w:kern w:val="0"/>
          <w:sz w:val="32"/>
          <w:szCs w:val="32"/>
        </w:rPr>
        <w:t>各相关</w:t>
      </w:r>
      <w:r>
        <w:rPr>
          <w:rFonts w:ascii="仿宋_GB2312" w:hAnsi="仿宋_GB2312" w:cs="仿宋_GB2312" w:hint="eastAsia"/>
          <w:color w:val="000000"/>
          <w:kern w:val="0"/>
          <w:sz w:val="32"/>
          <w:szCs w:val="32"/>
        </w:rPr>
        <w:t>部门按照各自职责，做好生态文明建设工作。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乡（镇）人民政府、街道办事处负责组织开展本辖区内的生态文明建设工作。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村民委员会、城市居民委员会应当积极参与并协助做好生态文明建设的相关工作。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黑体" w:hAnsi="黑体" w:cs="黑体" w:hint="eastAsia" w:eastAsia="黑体"/>
          <w:b w:val="false"/>
          <w:bCs/>
          <w:color w:val="000000"/>
          <w:sz w:val="32"/>
          <w:szCs w:val="32"/>
        </w:rPr>
        <w:t xml:space="preserve">第六条 </w:t>
      </w:r>
      <w:r>
        <w:rPr>
          <w:rFonts w:ascii="仿宋_GB2312" w:hAnsi="仿宋_GB2312" w:cs="仿宋_GB2312" w:hint="eastAsia"/>
          <w:color w:val="000000"/>
          <w:kern w:val="2"/>
          <w:sz w:val="32"/>
          <w:szCs w:val="32"/>
        </w:rPr>
        <w:t xml:space="preserve"> </w:t>
      </w:r>
      <w:r>
        <w:rPr>
          <w:rFonts w:ascii="仿宋_GB2312" w:hAnsi="仿宋_GB2312" w:cs="仿宋_GB2312" w:hint="eastAsia"/>
          <w:color w:val="000000"/>
          <w:kern w:val="2"/>
          <w:sz w:val="32"/>
          <w:szCs w:val="32"/>
        </w:rPr>
        <w:t>市、县</w:t>
      </w:r>
      <w:r>
        <w:rPr>
          <w:rFonts w:ascii="仿宋_GB2312" w:hAnsi="仿宋_GB2312" w:cs="仿宋_GB2312" w:hint="eastAsia"/>
          <w:color w:val="000000"/>
          <w:sz w:val="32"/>
          <w:szCs w:val="32"/>
        </w:rPr>
        <w:t>（市、区）</w:t>
      </w:r>
      <w:r>
        <w:rPr>
          <w:rFonts w:ascii="仿宋_GB2312" w:hAnsi="仿宋_GB2312" w:cs="仿宋_GB2312" w:hint="eastAsia"/>
          <w:color w:val="000000"/>
          <w:kern w:val="2"/>
          <w:sz w:val="32"/>
          <w:szCs w:val="32"/>
        </w:rPr>
        <w:t>人民政府应当建立生态文明建设公众参与制度，鼓励公民、法人和其他组织参与生态文明建设，并保障其知情权、参与权和监督权。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center"/>
        <w:textAlignment w:val="auto"/>
        <w:rPr>
          <w:rFonts w:ascii="黑体" w:hAnsi="黑体" w:eastAsia="黑体" w:cs="黑体" w:hint="eastAsia"/>
          <w:b w:val="false"/>
          <w:bCs/>
          <w:color w:val="000000"/>
          <w:kern w:val="2"/>
          <w:sz w:val="32"/>
          <w:szCs w:val="32"/>
        </w:rPr>
      </w:pPr>
      <w:r>
        <w:rPr>
          <w:rFonts w:eastAsia="黑体" w:cs="黑体" w:hint="eastAsia" w:ascii="黑体" w:hAnsi="黑体"/>
          <w:b w:val="false"/>
          <w:bCs/>
          <w:color w:val="000000"/>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color w:val="000000"/>
          <w:sz w:val="32"/>
          <w:szCs w:val="32"/>
        </w:rPr>
        <w:t>第二</w:t>
      </w:r>
      <w:r>
        <w:rPr>
          <w:rFonts w:ascii="黑体" w:hAnsi="黑体" w:cs="黑体" w:hint="eastAsia" w:eastAsia="黑体"/>
          <w:b w:val="false"/>
          <w:bCs w:val="false"/>
          <w:color w:val="000000"/>
          <w:kern w:val="0"/>
          <w:sz w:val="32"/>
          <w:szCs w:val="32"/>
        </w:rPr>
        <w:t>章  生态规划编制</w:t>
      </w:r>
    </w:p>
    <w:p>
      <w:pPr>
        <w:pStyle w:val="Style14"/>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val="false"/>
          <w:bCs/>
          <w:color w:val="000000"/>
          <w:kern w:val="2"/>
          <w:sz w:val="32"/>
          <w:szCs w:val="32"/>
        </w:rPr>
      </w:pPr>
      <w:r>
        <w:rPr>
          <w:rFonts w:eastAsia="黑体" w:cs="黑体" w:hint="eastAsia" w:ascii="黑体" w:hAnsi="黑体"/>
          <w:b w:val="false"/>
          <w:bCs/>
          <w:color w:val="000000"/>
          <w:kern w:val="2"/>
          <w:sz w:val="32"/>
          <w:szCs w:val="32"/>
        </w:rPr>
      </w:r>
    </w:p>
    <w:p>
      <w:pPr>
        <w:pStyle w:val="Style14"/>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黑体" w:hAnsi="黑体" w:cs="黑体" w:hint="eastAsia" w:eastAsia="黑体"/>
          <w:b w:val="false"/>
          <w:bCs/>
          <w:color w:val="000000"/>
          <w:kern w:val="2"/>
          <w:sz w:val="32"/>
          <w:szCs w:val="32"/>
        </w:rPr>
        <w:t xml:space="preserve">第七条  </w:t>
      </w:r>
      <w:r>
        <w:rPr>
          <w:rFonts w:ascii="仿宋_GB2312" w:hAnsi="仿宋_GB2312" w:cs="仿宋_GB2312" w:hint="eastAsia" w:eastAsia="仿宋_GB2312"/>
          <w:color w:val="000000"/>
          <w:kern w:val="2"/>
          <w:sz w:val="32"/>
          <w:szCs w:val="32"/>
        </w:rPr>
        <w:t>市、县</w:t>
      </w:r>
      <w:r>
        <w:rPr>
          <w:rFonts w:ascii="仿宋_GB2312" w:hAnsi="仿宋_GB2312" w:cs="仿宋_GB2312" w:hint="eastAsia" w:eastAsia="仿宋_GB2312"/>
          <w:color w:val="000000"/>
          <w:sz w:val="32"/>
          <w:szCs w:val="32"/>
        </w:rPr>
        <w:t>（市、区）</w:t>
      </w:r>
      <w:r>
        <w:rPr>
          <w:rFonts w:ascii="仿宋_GB2312" w:hAnsi="仿宋_GB2312" w:cs="仿宋_GB2312" w:hint="eastAsia" w:eastAsia="仿宋_GB2312"/>
          <w:color w:val="000000"/>
          <w:kern w:val="2"/>
          <w:sz w:val="32"/>
          <w:szCs w:val="32"/>
        </w:rPr>
        <w:t>人民政府应当编制本行政区域生态文明建设规划，报</w:t>
      </w:r>
      <w:r>
        <w:rPr>
          <w:rFonts w:ascii="仿宋_GB2312" w:hAnsi="仿宋_GB2312" w:cs="仿宋_GB2312" w:hint="eastAsia"/>
          <w:color w:val="000000"/>
          <w:kern w:val="2"/>
          <w:sz w:val="32"/>
          <w:szCs w:val="32"/>
        </w:rPr>
        <w:t>同</w:t>
      </w:r>
      <w:r>
        <w:rPr>
          <w:rFonts w:ascii="仿宋_GB2312" w:hAnsi="仿宋_GB2312" w:cs="仿宋_GB2312" w:hint="eastAsia" w:eastAsia="仿宋_GB2312"/>
          <w:color w:val="000000"/>
          <w:kern w:val="2"/>
          <w:sz w:val="32"/>
          <w:szCs w:val="32"/>
        </w:rPr>
        <w:t>级人民代表大会常务委员会批准后公布实施。</w:t>
      </w:r>
    </w:p>
    <w:p>
      <w:pPr>
        <w:pStyle w:val="Style14"/>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生态文明建设规划应当包括指导思想、规划目标、生态经济、生态文化、生态环境、制度保障等内容，并与</w:t>
      </w:r>
      <w:r>
        <w:rPr>
          <w:rFonts w:ascii="仿宋_GB2312" w:hAnsi="仿宋_GB2312" w:cs="仿宋_GB2312" w:hint="eastAsia"/>
          <w:color w:val="000000"/>
          <w:kern w:val="2"/>
          <w:sz w:val="32"/>
          <w:szCs w:val="32"/>
        </w:rPr>
        <w:t>本行政区域</w:t>
      </w:r>
      <w:r>
        <w:rPr>
          <w:rFonts w:ascii="仿宋_GB2312" w:hAnsi="仿宋_GB2312" w:cs="仿宋_GB2312" w:hint="eastAsia" w:eastAsia="仿宋_GB2312"/>
          <w:color w:val="000000"/>
          <w:kern w:val="2"/>
          <w:sz w:val="32"/>
          <w:szCs w:val="32"/>
        </w:rPr>
        <w:t>国民经济和社会发展规划、国土空间规划等相衔接。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经依法批准的生态文明建设规划，</w:t>
      </w:r>
      <w:r>
        <w:rPr>
          <w:rFonts w:ascii="仿宋_GB2312" w:hAnsi="仿宋_GB2312" w:cs="仿宋_GB2312" w:hint="eastAsia"/>
          <w:color w:val="000000"/>
          <w:kern w:val="0"/>
          <w:sz w:val="32"/>
          <w:szCs w:val="32"/>
        </w:rPr>
        <w:t>非因法定事由，</w:t>
      </w:r>
      <w:r>
        <w:rPr>
          <w:rFonts w:ascii="仿宋_GB2312" w:hAnsi="仿宋_GB2312" w:cs="仿宋_GB2312" w:hint="eastAsia"/>
          <w:color w:val="000000"/>
          <w:kern w:val="0"/>
          <w:sz w:val="32"/>
          <w:szCs w:val="32"/>
        </w:rPr>
        <w:t>未经法定程序，任何单位和个人不得擅自更改。</w:t>
      </w:r>
    </w:p>
    <w:p>
      <w:pPr>
        <w:pStyle w:val="Style14"/>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kern w:val="2"/>
          <w:sz w:val="32"/>
          <w:szCs w:val="32"/>
        </w:rPr>
        <w:t xml:space="preserve">第八条  </w:t>
      </w:r>
      <w:r>
        <w:rPr>
          <w:rFonts w:ascii="仿宋_GB2312" w:hAnsi="仿宋_GB2312" w:cs="仿宋_GB2312" w:hint="eastAsia" w:eastAsia="仿宋_GB2312"/>
          <w:color w:val="000000"/>
          <w:sz w:val="32"/>
          <w:szCs w:val="32"/>
        </w:rPr>
        <w:t>市、县（市、区）人民政府应当按照国家和省有关规定，编制统一的</w:t>
      </w:r>
      <w:r>
        <w:rPr>
          <w:rFonts w:ascii="仿宋_GB2312" w:hAnsi="仿宋_GB2312" w:cs="仿宋_GB2312" w:hint="eastAsia" w:eastAsia="仿宋_GB2312"/>
          <w:color w:val="000000"/>
          <w:kern w:val="2"/>
          <w:sz w:val="32"/>
          <w:szCs w:val="32"/>
        </w:rPr>
        <w:t>国土空间规划，</w:t>
      </w:r>
      <w:r>
        <w:rPr>
          <w:rFonts w:ascii="仿宋_GB2312" w:hAnsi="仿宋_GB2312" w:cs="仿宋_GB2312" w:hint="eastAsia" w:eastAsia="仿宋_GB2312"/>
          <w:color w:val="000000"/>
          <w:sz w:val="32"/>
          <w:szCs w:val="32"/>
        </w:rPr>
        <w:t>优化空间资源配置，保障生产、生活、生态空间有序发展。</w:t>
      </w:r>
    </w:p>
    <w:p>
      <w:pPr>
        <w:pStyle w:val="Style14"/>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各县（市、区）编制的</w:t>
      </w:r>
      <w:r>
        <w:rPr>
          <w:rFonts w:ascii="仿宋_GB2312" w:hAnsi="仿宋_GB2312" w:cs="仿宋_GB2312" w:hint="eastAsia" w:eastAsia="仿宋_GB2312"/>
          <w:color w:val="000000"/>
          <w:kern w:val="2"/>
          <w:sz w:val="32"/>
          <w:szCs w:val="32"/>
        </w:rPr>
        <w:t>国土空间规划，</w:t>
      </w:r>
      <w:r>
        <w:rPr>
          <w:rFonts w:ascii="仿宋_GB2312" w:hAnsi="仿宋_GB2312" w:cs="仿宋_GB2312" w:hint="eastAsia" w:eastAsia="仿宋_GB2312"/>
          <w:color w:val="000000"/>
          <w:sz w:val="32"/>
          <w:szCs w:val="32"/>
        </w:rPr>
        <w:t>应当充分考虑区域与区域之间的合理衔接。</w:t>
      </w:r>
    </w:p>
    <w:p>
      <w:pPr>
        <w:pStyle w:val="Style14"/>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2"/>
          <w:sz w:val="32"/>
          <w:szCs w:val="32"/>
        </w:rPr>
        <w:t xml:space="preserve">第九条  </w:t>
      </w:r>
      <w:r>
        <w:rPr>
          <w:rFonts w:ascii="仿宋_GB2312" w:hAnsi="仿宋_GB2312" w:cs="仿宋_GB2312" w:hint="eastAsia" w:eastAsia="仿宋_GB2312"/>
          <w:color w:val="000000"/>
          <w:kern w:val="0"/>
          <w:sz w:val="32"/>
          <w:szCs w:val="32"/>
        </w:rPr>
        <w:t>市、县（市、区）人民政府应当组织实施主体功能区战略，按照主体功能定位，构建科学合理的城乡发展、产业发展、生态安全格局，提高资源环境利用效率和综合承载能力。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sz w:val="32"/>
          <w:szCs w:val="32"/>
        </w:rPr>
        <w:t xml:space="preserve">第十条  </w:t>
      </w:r>
      <w:r>
        <w:rPr>
          <w:rFonts w:ascii="仿宋_GB2312" w:hAnsi="仿宋_GB2312" w:cs="仿宋_GB2312" w:hint="eastAsia"/>
          <w:color w:val="000000"/>
          <w:sz w:val="32"/>
          <w:szCs w:val="32"/>
        </w:rPr>
        <w:t>市、县（市、区）人民政府应当积极创造条件，利用电子技术</w:t>
      </w:r>
      <w:r>
        <w:rPr>
          <w:rFonts w:ascii="仿宋_GB2312" w:hAnsi="仿宋_GB2312" w:cs="仿宋_GB2312" w:hint="eastAsia"/>
          <w:color w:val="000000"/>
          <w:sz w:val="32"/>
          <w:szCs w:val="32"/>
        </w:rPr>
        <w:t>等</w:t>
      </w:r>
      <w:r>
        <w:rPr>
          <w:rFonts w:ascii="仿宋_GB2312" w:hAnsi="仿宋_GB2312" w:cs="仿宋_GB2312" w:hint="eastAsia"/>
          <w:color w:val="000000"/>
          <w:sz w:val="32"/>
          <w:szCs w:val="32"/>
        </w:rPr>
        <w:t>手段将生态文明建设规划和国土空间规划在固定场所公开展示，宣传介绍生态文明建设规划和国土空间规划管制要求，供社会各界了解并监督。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第三章  生态经济建设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b w:val="false"/>
          <w:bCs/>
          <w:color w:val="000000"/>
          <w:kern w:val="0"/>
          <w:sz w:val="32"/>
          <w:szCs w:val="32"/>
        </w:rPr>
      </w:pPr>
      <w:r>
        <w:rPr>
          <w:rFonts w:eastAsia="黑体" w:cs="黑体" w:hint="eastAsia" w:ascii="黑体" w:hAnsi="黑体"/>
          <w:b w:val="false"/>
          <w:bCs/>
          <w:color w:val="000000"/>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黑体" w:hAnsi="黑体" w:cs="黑体" w:hint="eastAsia" w:eastAsia="黑体"/>
          <w:b w:val="false"/>
          <w:bCs/>
          <w:color w:val="000000"/>
          <w:sz w:val="32"/>
          <w:szCs w:val="32"/>
        </w:rPr>
        <w:t xml:space="preserve">第十一条  </w:t>
      </w:r>
      <w:r>
        <w:rPr>
          <w:rFonts w:ascii="仿宋_GB2312" w:hAnsi="仿宋_GB2312" w:cs="仿宋_GB2312" w:hint="eastAsia"/>
          <w:color w:val="000000"/>
          <w:kern w:val="2"/>
          <w:sz w:val="32"/>
          <w:szCs w:val="32"/>
        </w:rPr>
        <w:t>市、县（市、区）人民政府应当根据当地资源禀赋、主体功能定位和市场需求等发展适宜产业。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rPr>
        <w:t>禁止引进、新建、扩建等不符合产业政策、</w:t>
      </w:r>
      <w:r>
        <w:rPr>
          <w:rFonts w:ascii="仿宋_GB2312" w:hAnsi="仿宋_GB2312" w:cs="仿宋_GB2312" w:hint="eastAsia"/>
          <w:color w:val="000000"/>
          <w:kern w:val="2"/>
          <w:sz w:val="32"/>
          <w:szCs w:val="32"/>
        </w:rPr>
        <w:t>不符合</w:t>
      </w:r>
      <w:r>
        <w:rPr>
          <w:rFonts w:ascii="仿宋_GB2312" w:hAnsi="仿宋_GB2312" w:cs="仿宋_GB2312" w:hint="eastAsia"/>
          <w:color w:val="000000"/>
          <w:kern w:val="2"/>
          <w:sz w:val="32"/>
          <w:szCs w:val="32"/>
        </w:rPr>
        <w:t>环境准入条件</w:t>
      </w:r>
      <w:r>
        <w:rPr>
          <w:rFonts w:ascii="仿宋_GB2312" w:hAnsi="仿宋_GB2312" w:cs="仿宋_GB2312" w:hint="eastAsia"/>
          <w:color w:val="000000"/>
          <w:kern w:val="2"/>
          <w:sz w:val="32"/>
          <w:szCs w:val="32"/>
        </w:rPr>
        <w:t>以及</w:t>
      </w:r>
      <w:r>
        <w:rPr>
          <w:rFonts w:ascii="仿宋_GB2312" w:hAnsi="仿宋_GB2312" w:cs="仿宋_GB2312" w:hint="eastAsia"/>
          <w:color w:val="000000"/>
          <w:kern w:val="2"/>
          <w:sz w:val="32"/>
          <w:szCs w:val="32"/>
        </w:rPr>
        <w:t>列入产业准入负面清单的产业、企业和项目。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黑体" w:hAnsi="黑体" w:cs="黑体" w:hint="eastAsia" w:eastAsia="黑体"/>
          <w:b w:val="false"/>
          <w:bCs/>
          <w:color w:val="000000"/>
          <w:sz w:val="32"/>
          <w:szCs w:val="32"/>
        </w:rPr>
        <w:t xml:space="preserve">第十二条  </w:t>
      </w:r>
      <w:r>
        <w:rPr>
          <w:rFonts w:ascii="仿宋_GB2312" w:hAnsi="仿宋_GB2312" w:cs="仿宋_GB2312" w:hint="eastAsia"/>
          <w:color w:val="000000"/>
          <w:kern w:val="2"/>
          <w:sz w:val="32"/>
          <w:szCs w:val="32"/>
        </w:rPr>
        <w:t>市、县</w:t>
      </w:r>
      <w:r>
        <w:rPr>
          <w:rFonts w:ascii="仿宋_GB2312" w:hAnsi="仿宋_GB2312" w:cs="仿宋_GB2312" w:hint="eastAsia"/>
          <w:color w:val="000000"/>
          <w:sz w:val="32"/>
          <w:szCs w:val="32"/>
        </w:rPr>
        <w:t>（市、区）</w:t>
      </w:r>
      <w:r>
        <w:rPr>
          <w:rFonts w:ascii="仿宋_GB2312" w:hAnsi="仿宋_GB2312" w:cs="仿宋_GB2312" w:hint="eastAsia"/>
          <w:color w:val="000000"/>
          <w:kern w:val="2"/>
          <w:sz w:val="32"/>
          <w:szCs w:val="32"/>
        </w:rPr>
        <w:t>人民政府应当逐步建立覆盖全社会的资源循环利用体系，积极推进循环经济发展。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631" w:start="0" w:end="0"/>
        <w:jc w:val="both"/>
        <w:textAlignment w:val="auto"/>
        <w:rPr>
          <w:rFonts w:ascii="仿宋_GB2312" w:hAnsi="仿宋_GB2312" w:cs="仿宋_GB2312" w:hint="eastAsia"/>
          <w:color w:val="000000"/>
          <w:kern w:val="2"/>
          <w:sz w:val="32"/>
          <w:szCs w:val="32"/>
        </w:rPr>
      </w:pPr>
      <w:r>
        <w:rPr>
          <w:rFonts w:ascii="仿宋_GB2312" w:hAnsi="仿宋_GB2312" w:cs="仿宋_GB2312" w:hint="eastAsia"/>
          <w:color w:val="000000"/>
          <w:kern w:val="2"/>
          <w:sz w:val="32"/>
          <w:szCs w:val="32"/>
        </w:rPr>
        <w:t>各级人民政府应当引导和鼓励企业、个人和其他经济组织开展大宗工业固体废物综合利用。</w:t>
      </w:r>
    </w:p>
    <w:p>
      <w:pPr>
        <w:pStyle w:val="Style14"/>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黑体" w:hAnsi="黑体" w:cs="黑体" w:hint="eastAsia" w:eastAsia="黑体"/>
          <w:b w:val="false"/>
          <w:bCs/>
          <w:color w:val="000000"/>
          <w:kern w:val="2"/>
          <w:sz w:val="32"/>
          <w:szCs w:val="32"/>
        </w:rPr>
        <w:t xml:space="preserve">第十三条  </w:t>
      </w:r>
      <w:r>
        <w:rPr>
          <w:rFonts w:ascii="仿宋_GB2312" w:hAnsi="仿宋_GB2312" w:cs="仿宋_GB2312" w:hint="eastAsia" w:eastAsia="仿宋_GB2312"/>
          <w:color w:val="000000"/>
          <w:kern w:val="2"/>
          <w:sz w:val="32"/>
          <w:szCs w:val="32"/>
        </w:rPr>
        <w:t>市、县</w:t>
      </w:r>
      <w:r>
        <w:rPr>
          <w:rFonts w:ascii="仿宋_GB2312" w:hAnsi="仿宋_GB2312" w:cs="仿宋_GB2312" w:hint="eastAsia" w:eastAsia="仿宋_GB2312"/>
          <w:color w:val="000000"/>
          <w:sz w:val="32"/>
          <w:szCs w:val="32"/>
        </w:rPr>
        <w:t>（市、区）</w:t>
      </w:r>
      <w:r>
        <w:rPr>
          <w:rFonts w:ascii="仿宋_GB2312" w:hAnsi="仿宋_GB2312" w:cs="仿宋_GB2312" w:hint="eastAsia" w:eastAsia="仿宋_GB2312"/>
          <w:color w:val="000000"/>
          <w:kern w:val="2"/>
          <w:sz w:val="32"/>
          <w:szCs w:val="32"/>
        </w:rPr>
        <w:t>人民政府应当依据国家有关</w:t>
      </w:r>
      <w:r>
        <w:rPr>
          <w:rFonts w:ascii="仿宋_GB2312" w:hAnsi="仿宋_GB2312" w:cs="仿宋_GB2312" w:hint="eastAsia"/>
          <w:color w:val="000000"/>
          <w:kern w:val="2"/>
          <w:sz w:val="32"/>
          <w:szCs w:val="32"/>
        </w:rPr>
        <w:t>法律法规</w:t>
      </w:r>
      <w:r>
        <w:rPr>
          <w:rFonts w:ascii="仿宋_GB2312" w:hAnsi="仿宋_GB2312" w:cs="仿宋_GB2312" w:hint="eastAsia" w:eastAsia="仿宋_GB2312"/>
          <w:color w:val="000000"/>
          <w:kern w:val="2"/>
          <w:sz w:val="32"/>
          <w:szCs w:val="32"/>
        </w:rPr>
        <w:t>，适时推行用能权、碳排放权、排污权等交易制度。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sz w:val="32"/>
          <w:szCs w:val="32"/>
        </w:rPr>
        <w:t xml:space="preserve">第十四条  </w:t>
      </w:r>
      <w:r>
        <w:rPr>
          <w:rFonts w:ascii="仿宋_GB2312" w:hAnsi="仿宋_GB2312" w:cs="仿宋_GB2312" w:hint="eastAsia"/>
          <w:color w:val="000000"/>
          <w:kern w:val="0"/>
          <w:sz w:val="32"/>
          <w:szCs w:val="32"/>
        </w:rPr>
        <w:t>市、县</w:t>
      </w:r>
      <w:r>
        <w:rPr>
          <w:rFonts w:ascii="仿宋_GB2312" w:hAnsi="仿宋_GB2312" w:cs="仿宋_GB2312" w:hint="eastAsia"/>
          <w:color w:val="000000"/>
          <w:sz w:val="32"/>
          <w:szCs w:val="32"/>
        </w:rPr>
        <w:t>（市、区）</w:t>
      </w:r>
      <w:r>
        <w:rPr>
          <w:rFonts w:ascii="仿宋_GB2312" w:hAnsi="仿宋_GB2312" w:cs="仿宋_GB2312" w:hint="eastAsia"/>
          <w:color w:val="000000"/>
          <w:kern w:val="0"/>
          <w:sz w:val="32"/>
          <w:szCs w:val="32"/>
        </w:rPr>
        <w:t>人民政府应当合理规划本行政区域生态旅游资源，推进生态旅游项目建设，创建生态旅游示范区，促进生态旅游与经济发展、扶贫开发、美丽乡村建设相融合。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sz w:val="32"/>
          <w:szCs w:val="32"/>
        </w:rPr>
        <w:t xml:space="preserve">第十五条  </w:t>
      </w:r>
      <w:r>
        <w:rPr>
          <w:rFonts w:ascii="仿宋_GB2312" w:hAnsi="仿宋_GB2312" w:cs="仿宋_GB2312" w:hint="eastAsia"/>
          <w:color w:val="000000"/>
          <w:kern w:val="0"/>
          <w:sz w:val="32"/>
          <w:szCs w:val="32"/>
        </w:rPr>
        <w:t>市、县</w:t>
      </w:r>
      <w:r>
        <w:rPr>
          <w:rFonts w:ascii="仿宋_GB2312" w:hAnsi="仿宋_GB2312" w:cs="仿宋_GB2312" w:hint="eastAsia"/>
          <w:color w:val="000000"/>
          <w:sz w:val="32"/>
          <w:szCs w:val="32"/>
        </w:rPr>
        <w:t>（市、区）</w:t>
      </w:r>
      <w:r>
        <w:rPr>
          <w:rFonts w:ascii="仿宋_GB2312" w:hAnsi="仿宋_GB2312" w:cs="仿宋_GB2312" w:hint="eastAsia"/>
          <w:color w:val="000000"/>
          <w:kern w:val="0"/>
          <w:sz w:val="32"/>
          <w:szCs w:val="32"/>
        </w:rPr>
        <w:t>人民政府</w:t>
      </w:r>
      <w:r>
        <w:rPr>
          <w:rFonts w:ascii="仿宋_GB2312" w:hAnsi="仿宋_GB2312" w:cs="仿宋_GB2312" w:hint="eastAsia"/>
          <w:color w:val="000000"/>
          <w:kern w:val="0"/>
          <w:sz w:val="32"/>
          <w:szCs w:val="32"/>
        </w:rPr>
        <w:t>、企业事业单位和其他组织</w:t>
      </w:r>
      <w:r>
        <w:rPr>
          <w:rFonts w:ascii="仿宋_GB2312" w:hAnsi="仿宋_GB2312" w:cs="仿宋_GB2312" w:hint="eastAsia"/>
          <w:color w:val="000000"/>
          <w:kern w:val="0"/>
          <w:sz w:val="32"/>
          <w:szCs w:val="32"/>
        </w:rPr>
        <w:t>应当按照国家有关规定优先采购和使用节能环保产品</w:t>
      </w:r>
      <w:r>
        <w:rPr>
          <w:rFonts w:ascii="仿宋_GB2312" w:hAnsi="仿宋_GB2312" w:cs="仿宋_GB2312" w:hint="eastAsia"/>
          <w:color w:val="000000"/>
          <w:kern w:val="0"/>
          <w:sz w:val="32"/>
          <w:szCs w:val="32"/>
        </w:rPr>
        <w:t>、设备和设施</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第四章  生态环境保护</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b w:val="false"/>
          <w:bCs/>
          <w:color w:val="000000"/>
          <w:kern w:val="0"/>
          <w:sz w:val="32"/>
          <w:szCs w:val="32"/>
        </w:rPr>
      </w:pPr>
      <w:r>
        <w:rPr>
          <w:rFonts w:eastAsia="黑体" w:cs="黑体" w:hint="eastAsia" w:ascii="黑体" w:hAnsi="黑体"/>
          <w:b w:val="false"/>
          <w:bCs/>
          <w:color w:val="000000"/>
          <w:kern w:val="0"/>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sz w:val="32"/>
          <w:szCs w:val="32"/>
        </w:rPr>
        <w:t xml:space="preserve">第十六条  </w:t>
      </w:r>
      <w:r>
        <w:rPr>
          <w:rFonts w:ascii="仿宋_GB2312" w:hAnsi="仿宋_GB2312" w:cs="仿宋_GB2312" w:hint="eastAsia"/>
          <w:color w:val="000000"/>
          <w:kern w:val="0"/>
          <w:sz w:val="32"/>
          <w:szCs w:val="32"/>
        </w:rPr>
        <w:t>各级人民政府应当加强对生态保护红线的管控。严禁不符合生态保护红线要求的各类开发建设活动。调整生态保护红线区划的，依照国家和省有关规定和程序办理。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既有的自然保护区、饮用水水源保护区、国家森林公园、国家湿地公园、国家地质公园、水产种质资源保护区</w:t>
      </w:r>
      <w:r>
        <w:rPr>
          <w:rFonts w:ascii="仿宋_GB2312" w:hAnsi="仿宋_GB2312" w:cs="仿宋_GB2312" w:hint="eastAsia"/>
          <w:color w:val="000000"/>
          <w:kern w:val="0"/>
          <w:sz w:val="32"/>
          <w:szCs w:val="32"/>
        </w:rPr>
        <w:t>、吉林白山原麝国家级自然保护区、矿泉水保护区</w:t>
      </w:r>
      <w:r>
        <w:rPr>
          <w:rFonts w:ascii="仿宋_GB2312" w:hAnsi="仿宋_GB2312" w:cs="仿宋_GB2312" w:hint="eastAsia"/>
          <w:color w:val="000000"/>
          <w:kern w:val="0"/>
          <w:sz w:val="32"/>
          <w:szCs w:val="32"/>
        </w:rPr>
        <w:t>等自然保护地，应当依照相关法律法规的规定实行严格保护。相关单位、企业、农村集体经济组织和个人应当依法对其经营管护的山水林田湖草实行严格管护。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cs="仿宋_GB2312" w:hint="eastAsia"/>
          <w:color w:val="000000"/>
          <w:kern w:val="0"/>
          <w:sz w:val="32"/>
          <w:szCs w:val="32"/>
        </w:rPr>
      </w:pPr>
      <w:r>
        <w:rPr>
          <w:rFonts w:ascii="黑体" w:hAnsi="黑体" w:cs="黑体" w:hint="eastAsia" w:eastAsia="黑体"/>
          <w:b w:val="false"/>
          <w:bCs/>
          <w:color w:val="000000"/>
          <w:sz w:val="32"/>
          <w:szCs w:val="32"/>
        </w:rPr>
        <w:t xml:space="preserve">第十七条  </w:t>
      </w:r>
      <w:r>
        <w:rPr>
          <w:rFonts w:ascii="仿宋_GB2312" w:hAnsi="仿宋_GB2312" w:cs="仿宋_GB2312" w:hint="eastAsia"/>
          <w:color w:val="000000"/>
          <w:kern w:val="0"/>
          <w:sz w:val="32"/>
          <w:szCs w:val="32"/>
        </w:rPr>
        <w:t>建立生态补偿机制</w:t>
      </w:r>
      <w:r>
        <w:rPr>
          <w:rFonts w:ascii="仿宋_GB2312" w:hAnsi="仿宋_GB2312" w:cs="仿宋_GB2312" w:hint="eastAsia"/>
          <w:color w:val="000000"/>
          <w:kern w:val="0"/>
          <w:sz w:val="32"/>
          <w:szCs w:val="32"/>
        </w:rPr>
        <w:t>，应当遵循谁开发谁保护、谁受益谁补偿的原则。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sz w:val="32"/>
          <w:szCs w:val="32"/>
        </w:rPr>
        <w:t xml:space="preserve">第十八条  </w:t>
      </w:r>
      <w:r>
        <w:rPr>
          <w:rFonts w:ascii="仿宋_GB2312" w:hAnsi="仿宋_GB2312" w:cs="仿宋_GB2312" w:hint="eastAsia"/>
          <w:color w:val="000000"/>
          <w:kern w:val="0"/>
          <w:sz w:val="32"/>
          <w:szCs w:val="32"/>
        </w:rPr>
        <w:t>市、县（市、区）人民政府应当加强本行政区域大气污染防控体系建设，巩固大气环境质量达标成果，强化责任落实和行政监管。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color w:val="000000"/>
          <w:kern w:val="0"/>
          <w:sz w:val="32"/>
          <w:szCs w:val="32"/>
        </w:rPr>
        <w:t>未达到国家大气环境质量标准的，当地人民政府应当编制大气环境质量限期达标计划。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sz w:val="32"/>
          <w:szCs w:val="32"/>
        </w:rPr>
        <w:t xml:space="preserve">第十九条 </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全面实行河湖长制，落实市、县（市、区）、乡（镇、街道）、村（居委会）四级河湖管理保护主体和责任。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各级河湖长应当依法</w:t>
      </w:r>
      <w:r>
        <w:rPr>
          <w:rFonts w:ascii="仿宋_GB2312" w:hAnsi="仿宋_GB2312" w:cs="仿宋_GB2312"/>
          <w:color w:val="000000"/>
          <w:kern w:val="0"/>
          <w:sz w:val="32"/>
          <w:szCs w:val="32"/>
        </w:rPr>
        <w:t>对其责任河湖的水资源保护、水域岸线管理、水污染防治、水环境治理等管理保护工作予以组织领导、监督协调，督促或者建议政府及相关部门履行法定职责，解决其责任河湖管理保护存在</w:t>
      </w:r>
      <w:r>
        <w:rPr>
          <w:rFonts w:ascii="仿宋_GB2312" w:hAnsi="仿宋_GB2312" w:cs="仿宋_GB2312" w:hint="eastAsia"/>
          <w:color w:val="000000"/>
          <w:kern w:val="0"/>
          <w:sz w:val="32"/>
          <w:szCs w:val="32"/>
        </w:rPr>
        <w:t>的</w:t>
      </w:r>
      <w:r>
        <w:rPr>
          <w:rFonts w:ascii="仿宋_GB2312" w:hAnsi="仿宋_GB2312" w:cs="仿宋_GB2312"/>
          <w:color w:val="000000"/>
          <w:kern w:val="0"/>
          <w:sz w:val="32"/>
          <w:szCs w:val="32"/>
        </w:rPr>
        <w:t>问题。</w:t>
      </w:r>
    </w:p>
    <w:p>
      <w:pPr>
        <w:pStyle w:val="Style14"/>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kern w:val="2"/>
          <w:sz w:val="32"/>
          <w:szCs w:val="32"/>
        </w:rPr>
        <w:t xml:space="preserve">第二十条 </w:t>
      </w:r>
      <w:r>
        <w:rPr>
          <w:rFonts w:ascii="仿宋_GB2312" w:hAnsi="仿宋_GB2312" w:cs="仿宋_GB2312" w:hint="eastAsia" w:eastAsia="仿宋_GB2312"/>
          <w:b/>
          <w:bCs/>
          <w:color w:val="000000"/>
          <w:kern w:val="0"/>
          <w:sz w:val="32"/>
          <w:szCs w:val="32"/>
        </w:rPr>
        <w:t xml:space="preserve"> </w:t>
      </w:r>
      <w:r>
        <w:rPr>
          <w:rFonts w:ascii="仿宋_GB2312" w:hAnsi="仿宋_GB2312" w:cs="仿宋_GB2312" w:hint="eastAsia" w:eastAsia="仿宋_GB2312"/>
          <w:color w:val="000000"/>
          <w:sz w:val="32"/>
          <w:szCs w:val="32"/>
        </w:rPr>
        <w:t>市、县（市、区）人民政府应当</w:t>
      </w:r>
      <w:r>
        <w:rPr>
          <w:rFonts w:ascii="仿宋_GB2312" w:hAnsi="仿宋_GB2312" w:cs="仿宋_GB2312" w:hint="eastAsia"/>
          <w:color w:val="000000"/>
          <w:sz w:val="32"/>
          <w:szCs w:val="32"/>
        </w:rPr>
        <w:t>依法</w:t>
      </w:r>
      <w:r>
        <w:rPr>
          <w:rFonts w:ascii="仿宋_GB2312" w:hAnsi="仿宋_GB2312" w:cs="仿宋_GB2312" w:hint="eastAsia" w:eastAsia="仿宋_GB2312"/>
          <w:color w:val="000000"/>
          <w:sz w:val="32"/>
          <w:szCs w:val="32"/>
        </w:rPr>
        <w:t>采取有效措施保护土壤环境，防止土壤流失和污染物侵蚀。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color w:val="000000"/>
          <w:sz w:val="32"/>
          <w:szCs w:val="32"/>
        </w:rPr>
        <w:t>第二十一条</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b w:val="false"/>
          <w:bCs w:val="false"/>
          <w:color w:val="000000"/>
          <w:kern w:val="0"/>
          <w:sz w:val="32"/>
          <w:szCs w:val="32"/>
        </w:rPr>
        <w:t xml:space="preserve"> </w:t>
      </w:r>
      <w:r>
        <w:rPr>
          <w:rFonts w:ascii="仿宋_GB2312" w:hAnsi="仿宋_GB2312" w:cs="仿宋_GB2312" w:hint="eastAsia"/>
          <w:color w:val="000000"/>
          <w:sz w:val="32"/>
          <w:szCs w:val="32"/>
        </w:rPr>
        <w:t>市、县（市、区）人民政府应当</w:t>
      </w:r>
      <w:r>
        <w:rPr>
          <w:rFonts w:ascii="仿宋_GB2312" w:hAnsi="仿宋_GB2312" w:cs="仿宋_GB2312" w:hint="eastAsia"/>
          <w:color w:val="000000"/>
          <w:sz w:val="32"/>
          <w:szCs w:val="32"/>
        </w:rPr>
        <w:t>加大农业面源污染防治力度，开展农业节肥节药。严格控制农药使用量，优化农药结构，推广高效生物农药、高效低风险农药，提高科学用药水平；推进有机肥资源化利用，实现化肥农药使用量负增长。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sz w:val="32"/>
          <w:szCs w:val="32"/>
        </w:rPr>
        <w:t>第二十二条</w:t>
      </w:r>
      <w:r>
        <w:rPr>
          <w:rFonts w:ascii="仿宋_GB2312" w:hAnsi="仿宋_GB2312" w:cs="仿宋_GB2312" w:hint="eastAsia"/>
          <w:b/>
          <w:bCs/>
          <w:color w:val="000000"/>
          <w:kern w:val="0"/>
          <w:sz w:val="32"/>
          <w:szCs w:val="32"/>
        </w:rPr>
        <w:t xml:space="preserve"> </w:t>
      </w:r>
      <w:r>
        <w:rPr>
          <w:rFonts w:ascii="仿宋_GB2312" w:hAnsi="仿宋_GB2312" w:cs="仿宋_GB2312" w:hint="eastAsia"/>
          <w:b/>
          <w:bCs/>
          <w:color w:val="000000"/>
          <w:kern w:val="0"/>
          <w:sz w:val="32"/>
          <w:szCs w:val="32"/>
        </w:rPr>
        <w:t xml:space="preserve"> </w:t>
      </w:r>
      <w:r>
        <w:rPr>
          <w:rFonts w:ascii="仿宋_GB2312" w:hAnsi="仿宋_GB2312" w:cs="仿宋_GB2312" w:hint="eastAsia"/>
          <w:color w:val="000000"/>
          <w:sz w:val="32"/>
          <w:szCs w:val="32"/>
        </w:rPr>
        <w:t>市、县（市、区）人民政府应当持续推进植树造林、封山育林、退耕还林还草等措施，适时探索推行国家储备林建设，加强森林防火和病虫害防治，</w:t>
      </w:r>
      <w:r>
        <w:rPr>
          <w:rFonts w:ascii="仿宋_GB2312" w:hAnsi="仿宋_GB2312" w:cs="仿宋_GB2312" w:hint="eastAsia"/>
          <w:color w:val="000000"/>
          <w:sz w:val="32"/>
          <w:szCs w:val="32"/>
        </w:rPr>
        <w:t>促进</w:t>
      </w:r>
      <w:r>
        <w:rPr>
          <w:rFonts w:ascii="仿宋_GB2312" w:hAnsi="仿宋_GB2312" w:cs="仿宋_GB2312" w:hint="eastAsia"/>
          <w:color w:val="000000"/>
          <w:sz w:val="32"/>
          <w:szCs w:val="32"/>
        </w:rPr>
        <w:t>森林生态系统健康。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sz w:val="32"/>
          <w:szCs w:val="32"/>
        </w:rPr>
        <w:t>第二十三条</w:t>
      </w:r>
      <w:r>
        <w:rPr>
          <w:rFonts w:ascii="仿宋_GB2312" w:hAnsi="仿宋_GB2312" w:cs="仿宋_GB2312" w:hint="eastAsia"/>
          <w:b/>
          <w:bCs/>
          <w:color w:val="000000"/>
          <w:kern w:val="0"/>
          <w:sz w:val="32"/>
          <w:szCs w:val="32"/>
        </w:rPr>
        <w:t xml:space="preserve"> </w:t>
      </w:r>
      <w:r>
        <w:rPr>
          <w:rFonts w:ascii="仿宋_GB2312" w:hAnsi="仿宋_GB2312" w:cs="仿宋_GB2312" w:hint="eastAsia"/>
          <w:b/>
          <w:bCs/>
          <w:color w:val="000000"/>
          <w:kern w:val="0"/>
          <w:sz w:val="32"/>
          <w:szCs w:val="32"/>
        </w:rPr>
        <w:t xml:space="preserve"> </w:t>
      </w:r>
      <w:r>
        <w:rPr>
          <w:rFonts w:ascii="仿宋_GB2312" w:hAnsi="仿宋_GB2312" w:cs="仿宋_GB2312" w:hint="eastAsia"/>
          <w:color w:val="000000"/>
          <w:sz w:val="32"/>
          <w:szCs w:val="32"/>
        </w:rPr>
        <w:t>市、县（市、区）人民政府应当依法加强野生动植物保护，维护长白山物种基因库和生物多样性，防治有害生物，保障生态安全。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sz w:val="32"/>
          <w:szCs w:val="32"/>
        </w:rPr>
        <w:t xml:space="preserve">第二十四条 </w:t>
      </w:r>
      <w:r>
        <w:rPr>
          <w:rFonts w:ascii="仿宋_GB2312" w:hAnsi="仿宋_GB2312" w:cs="仿宋_GB2312" w:hint="eastAsia"/>
          <w:color w:val="000000"/>
          <w:sz w:val="32"/>
          <w:szCs w:val="32"/>
        </w:rPr>
        <w:t xml:space="preserve"> 市、县（市、区）人民政府应当加强城乡人居环境综合治理</w:t>
      </w:r>
      <w:r>
        <w:rPr>
          <w:rFonts w:ascii="仿宋_GB2312" w:hAnsi="仿宋_GB2312" w:cs="仿宋_GB2312" w:hint="eastAsia"/>
          <w:color w:val="000000"/>
          <w:sz w:val="32"/>
          <w:szCs w:val="32"/>
        </w:rPr>
        <w:t>和</w:t>
      </w:r>
      <w:r>
        <w:rPr>
          <w:rFonts w:ascii="仿宋_GB2312" w:hAnsi="仿宋_GB2312" w:cs="仿宋_GB2312" w:hint="eastAsia"/>
          <w:color w:val="000000"/>
          <w:sz w:val="32"/>
          <w:szCs w:val="32"/>
        </w:rPr>
        <w:t>城市精细化管理，完善污水、垃圾分类处理等环境卫生设施</w:t>
      </w:r>
      <w:r>
        <w:rPr>
          <w:rFonts w:ascii="仿宋_GB2312" w:hAnsi="仿宋_GB2312" w:cs="仿宋_GB2312" w:hint="eastAsia"/>
          <w:color w:val="000000"/>
          <w:sz w:val="32"/>
          <w:szCs w:val="32"/>
        </w:rPr>
        <w:t>，推动建设</w:t>
      </w:r>
      <w:r>
        <w:rPr>
          <w:rFonts w:ascii="仿宋_GB2312" w:hAnsi="仿宋_GB2312" w:cs="仿宋_GB2312" w:hint="eastAsia"/>
          <w:color w:val="000000"/>
          <w:kern w:val="2"/>
          <w:sz w:val="32"/>
          <w:szCs w:val="32"/>
        </w:rPr>
        <w:t>畜禽、宠物尸体和医疗废物等无害化集中处置设施</w:t>
      </w:r>
      <w:r>
        <w:rPr>
          <w:rFonts w:ascii="仿宋_GB2312" w:hAnsi="仿宋_GB2312" w:cs="仿宋_GB2312" w:hint="eastAsia"/>
          <w:color w:val="000000"/>
          <w:sz w:val="32"/>
          <w:szCs w:val="32"/>
        </w:rPr>
        <w:t>；</w:t>
      </w:r>
      <w:r>
        <w:rPr>
          <w:rFonts w:ascii="仿宋_GB2312" w:hAnsi="仿宋_GB2312" w:cs="仿宋_GB2312" w:hint="eastAsia"/>
          <w:color w:val="000000"/>
          <w:sz w:val="32"/>
          <w:szCs w:val="32"/>
        </w:rPr>
        <w:t>加强城市内河整治，消灭黑臭水体</w:t>
      </w:r>
      <w:r>
        <w:rPr>
          <w:rFonts w:ascii="仿宋_GB2312" w:hAnsi="仿宋_GB2312" w:cs="仿宋_GB2312" w:hint="eastAsia"/>
          <w:color w:val="000000"/>
          <w:sz w:val="32"/>
          <w:szCs w:val="32"/>
        </w:rPr>
        <w:t>，</w:t>
      </w:r>
      <w:r>
        <w:rPr>
          <w:rFonts w:ascii="仿宋_GB2312" w:hAnsi="仿宋_GB2312" w:cs="仿宋_GB2312" w:hint="eastAsia"/>
          <w:color w:val="000000"/>
          <w:sz w:val="32"/>
          <w:szCs w:val="32"/>
        </w:rPr>
        <w:t>促进相关设施标准化和规范化</w:t>
      </w:r>
      <w:r>
        <w:rPr>
          <w:rFonts w:ascii="仿宋_GB2312" w:hAnsi="仿宋_GB2312" w:cs="仿宋_GB2312" w:hint="eastAsia"/>
          <w:color w:val="000000"/>
          <w:sz w:val="32"/>
          <w:szCs w:val="32"/>
        </w:rPr>
        <w:t>；</w:t>
      </w:r>
      <w:r>
        <w:rPr>
          <w:rFonts w:ascii="仿宋_GB2312" w:hAnsi="仿宋_GB2312" w:cs="仿宋_GB2312" w:hint="eastAsia"/>
          <w:color w:val="000000"/>
          <w:sz w:val="32"/>
          <w:szCs w:val="32"/>
        </w:rPr>
        <w:t>加强城市美化亮化建设，形成“一江两岸”交相辉映的滨江亮化格局。</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第五章  生态文化培育</w:t>
      </w:r>
    </w:p>
    <w:p>
      <w:pPr>
        <w:pStyle w:val="Style14"/>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val="false"/>
          <w:bCs/>
          <w:color w:val="000000"/>
          <w:kern w:val="2"/>
          <w:sz w:val="32"/>
          <w:szCs w:val="32"/>
        </w:rPr>
      </w:pPr>
      <w:r>
        <w:rPr>
          <w:rFonts w:eastAsia="黑体" w:cs="黑体" w:hint="eastAsia" w:ascii="黑体" w:hAnsi="黑体"/>
          <w:b w:val="false"/>
          <w:bCs/>
          <w:color w:val="000000"/>
          <w:kern w:val="2"/>
          <w:sz w:val="32"/>
          <w:szCs w:val="32"/>
        </w:rPr>
      </w:r>
    </w:p>
    <w:p>
      <w:pPr>
        <w:pStyle w:val="Style14"/>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kern w:val="2"/>
          <w:sz w:val="32"/>
          <w:szCs w:val="32"/>
        </w:rPr>
        <w:t xml:space="preserve">第二十五条 </w:t>
      </w:r>
      <w:r>
        <w:rPr>
          <w:rFonts w:ascii="仿宋_GB2312" w:hAnsi="仿宋_GB2312" w:cs="仿宋_GB2312" w:hint="eastAsia" w:eastAsia="仿宋_GB2312"/>
          <w:b/>
          <w:bCs/>
          <w:color w:val="000000"/>
          <w:kern w:val="0"/>
          <w:sz w:val="32"/>
          <w:szCs w:val="32"/>
        </w:rPr>
        <w:t xml:space="preserve"> </w:t>
      </w:r>
      <w:r>
        <w:rPr>
          <w:rFonts w:ascii="仿宋_GB2312" w:hAnsi="仿宋_GB2312" w:cs="仿宋_GB2312" w:hint="eastAsia" w:eastAsia="仿宋_GB2312"/>
          <w:color w:val="000000"/>
          <w:sz w:val="32"/>
          <w:szCs w:val="32"/>
        </w:rPr>
        <w:t>市、县（市、区）人民政府应当加强生态文化建设，开展生态文明宣传，普及生态文明知识，倡导生态文明行为，提高全社会生态文明意识。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cs="仿宋_GB2312" w:hint="eastAsia"/>
          <w:color w:val="000000"/>
          <w:sz w:val="32"/>
          <w:szCs w:val="32"/>
        </w:rPr>
      </w:pPr>
      <w:r>
        <w:rPr>
          <w:rFonts w:ascii="仿宋_GB2312" w:hAnsi="仿宋_GB2312" w:cs="仿宋_GB2312" w:hint="eastAsia"/>
          <w:color w:val="000000"/>
          <w:sz w:val="32"/>
          <w:szCs w:val="32"/>
        </w:rPr>
        <w:t>市人民政府应当组织专家、学者以论坛、讲座、报告等形式深入研讨全市生态文明建设发展战略，创建生态文明示范区、示范县，推进生态文明建设活动，巩固生态文明建设成果。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sz w:val="32"/>
          <w:szCs w:val="32"/>
        </w:rPr>
        <w:t xml:space="preserve">第二十六条 </w:t>
      </w:r>
      <w:r>
        <w:rPr>
          <w:rFonts w:ascii="仿宋_GB2312" w:hAnsi="仿宋_GB2312" w:cs="仿宋_GB2312" w:hint="eastAsia"/>
          <w:b/>
          <w:bCs/>
          <w:color w:val="000000"/>
          <w:kern w:val="0"/>
          <w:sz w:val="32"/>
          <w:szCs w:val="32"/>
        </w:rPr>
        <w:t xml:space="preserve"> </w:t>
      </w:r>
      <w:r>
        <w:rPr>
          <w:rFonts w:ascii="仿宋_GB2312" w:hAnsi="仿宋_GB2312" w:cs="仿宋_GB2312" w:hint="eastAsia"/>
          <w:color w:val="000000"/>
          <w:sz w:val="32"/>
          <w:szCs w:val="32"/>
        </w:rPr>
        <w:t>承担生态文明建设监督管理职责的部门以及新闻媒体、网络平台和文化艺术单位，应当加强生态文明公益宣传，开展各类公益讲座、展览展示等活动，积极推动相关文化艺术作品的创作和出版工作。</w:t>
      </w:r>
    </w:p>
    <w:p>
      <w:pPr>
        <w:pStyle w:val="Style14"/>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kern w:val="2"/>
          <w:sz w:val="32"/>
          <w:szCs w:val="32"/>
        </w:rPr>
        <w:t xml:space="preserve">第二十七条 </w:t>
      </w:r>
      <w:r>
        <w:rPr>
          <w:rFonts w:ascii="仿宋_GB2312" w:hAnsi="仿宋_GB2312" w:cs="仿宋_GB2312" w:hint="eastAsia" w:eastAsia="仿宋_GB2312"/>
          <w:b/>
          <w:bCs/>
          <w:color w:val="000000"/>
          <w:kern w:val="0"/>
          <w:sz w:val="32"/>
          <w:szCs w:val="32"/>
        </w:rPr>
        <w:t xml:space="preserve"> </w:t>
      </w:r>
      <w:r>
        <w:rPr>
          <w:rFonts w:ascii="仿宋_GB2312" w:hAnsi="仿宋_GB2312" w:cs="仿宋_GB2312" w:hint="eastAsia" w:eastAsia="仿宋_GB2312"/>
          <w:color w:val="000000"/>
          <w:sz w:val="32"/>
          <w:szCs w:val="32"/>
        </w:rPr>
        <w:t>市、县（市、区）人民政府应当编制具有地方特色的生态文明读本和宣传材料，将生态文明建设纳入教育内容和各级行政学院培训教学计划。</w:t>
      </w:r>
    </w:p>
    <w:p>
      <w:pPr>
        <w:pStyle w:val="Style14"/>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kern w:val="2"/>
          <w:sz w:val="32"/>
          <w:szCs w:val="32"/>
        </w:rPr>
        <w:t xml:space="preserve">第二十八条 </w:t>
      </w:r>
      <w:r>
        <w:rPr>
          <w:rFonts w:ascii="仿宋_GB2312" w:hAnsi="仿宋_GB2312" w:cs="仿宋_GB2312" w:hint="eastAsia" w:eastAsia="仿宋_GB2312"/>
          <w:b/>
          <w:bCs/>
          <w:color w:val="000000"/>
          <w:kern w:val="0"/>
          <w:sz w:val="32"/>
          <w:szCs w:val="32"/>
        </w:rPr>
        <w:t xml:space="preserve"> </w:t>
      </w:r>
      <w:r>
        <w:rPr>
          <w:rFonts w:ascii="仿宋_GB2312" w:hAnsi="仿宋_GB2312" w:cs="仿宋_GB2312" w:hint="eastAsia" w:eastAsia="仿宋_GB2312"/>
          <w:color w:val="000000"/>
          <w:sz w:val="32"/>
          <w:szCs w:val="32"/>
        </w:rPr>
        <w:t>市、县（市、区）人民政府应当弘扬人与自然和谐相处的生态文化，倡导文明、绿色、低碳的生活方式和消费模式。</w:t>
      </w:r>
    </w:p>
    <w:p>
      <w:pPr>
        <w:pStyle w:val="Style14"/>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鼓励消费者使用节能、节水、再生产品，减少一次性产品的使用，加快形成简约适度、绿色低碳、文明健康的消费模式</w:t>
      </w:r>
      <w:r>
        <w:rPr>
          <w:rFonts w:ascii="仿宋_GB2312" w:hAnsi="仿宋_GB2312" w:cs="仿宋_GB2312" w:hint="eastAsia"/>
          <w:color w:val="000000"/>
          <w:sz w:val="32"/>
          <w:szCs w:val="32"/>
        </w:rPr>
        <w:t>，</w:t>
      </w:r>
      <w:r>
        <w:rPr>
          <w:rFonts w:ascii="仿宋_GB2312" w:hAnsi="仿宋_GB2312" w:cs="仿宋_GB2312" w:hint="eastAsia" w:eastAsia="仿宋_GB2312"/>
          <w:color w:val="000000"/>
          <w:sz w:val="32"/>
          <w:szCs w:val="32"/>
        </w:rPr>
        <w:t>减少使用浪费资源、污染环境的产品。</w:t>
      </w:r>
    </w:p>
    <w:p>
      <w:pPr>
        <w:pStyle w:val="Style14"/>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kern w:val="2"/>
          <w:sz w:val="32"/>
          <w:szCs w:val="32"/>
        </w:rPr>
        <w:t>第二十九条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鼓励村民委员会、城市居民委员会等基层自治组织和志愿者组织开展以《白山市市民文明公约》《白山市市民行为规范》为主要内容的宣传教育活动，积极培育和践行社会主义核心价值观。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倡导</w:t>
      </w:r>
      <w:r>
        <w:rPr>
          <w:rFonts w:ascii="仿宋_GB2312" w:hAnsi="仿宋_GB2312" w:cs="仿宋_GB2312" w:hint="eastAsia"/>
          <w:color w:val="000000"/>
          <w:sz w:val="32"/>
          <w:szCs w:val="32"/>
        </w:rPr>
        <w:t>生态文明</w:t>
      </w:r>
      <w:r>
        <w:rPr>
          <w:rFonts w:ascii="仿宋_GB2312" w:hAnsi="仿宋_GB2312" w:cs="仿宋_GB2312" w:hint="eastAsia"/>
          <w:color w:val="000000"/>
          <w:sz w:val="32"/>
          <w:szCs w:val="32"/>
        </w:rPr>
        <w:t>祭祀、奠基、庆典、节庆等活动，树立文明</w:t>
      </w:r>
      <w:r>
        <w:rPr>
          <w:rFonts w:ascii="仿宋_GB2312" w:hAnsi="仿宋_GB2312" w:cs="仿宋_GB2312" w:hint="eastAsia"/>
          <w:color w:val="000000"/>
          <w:sz w:val="32"/>
          <w:szCs w:val="32"/>
        </w:rPr>
        <w:t>绿色环保</w:t>
      </w:r>
      <w:r>
        <w:rPr>
          <w:rFonts w:ascii="仿宋_GB2312" w:hAnsi="仿宋_GB2312" w:cs="仿宋_GB2312" w:hint="eastAsia"/>
          <w:color w:val="000000"/>
          <w:sz w:val="32"/>
          <w:szCs w:val="32"/>
        </w:rPr>
        <w:t>新风。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cs="仿宋_GB2312" w:hint="eastAsia"/>
          <w:color w:val="000000"/>
          <w:sz w:val="32"/>
          <w:szCs w:val="32"/>
        </w:rPr>
      </w:pPr>
      <w:r>
        <w:rPr>
          <w:rFonts w:ascii="黑体" w:hAnsi="黑体" w:cs="黑体" w:hint="eastAsia" w:eastAsia="黑体"/>
          <w:b w:val="false"/>
          <w:bCs/>
          <w:color w:val="000000"/>
          <w:sz w:val="32"/>
          <w:szCs w:val="32"/>
        </w:rPr>
        <w:t>第三十条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市、县（市、区）人民政府应当</w:t>
      </w:r>
      <w:r>
        <w:rPr>
          <w:rFonts w:ascii="仿宋_GB2312" w:hAnsi="仿宋_GB2312" w:cs="仿宋_GB2312" w:hint="eastAsia"/>
          <w:color w:val="000000"/>
          <w:sz w:val="32"/>
          <w:szCs w:val="32"/>
        </w:rPr>
        <w:t>加强城乡地名管理。城乡地名管理应当从我市人文历史和生态文化出发，</w:t>
      </w:r>
      <w:r>
        <w:rPr>
          <w:rFonts w:ascii="仿宋_GB2312" w:hAnsi="仿宋_GB2312" w:cs="仿宋_GB2312" w:hint="eastAsia"/>
          <w:color w:val="000000"/>
          <w:sz w:val="32"/>
          <w:szCs w:val="32"/>
        </w:rPr>
        <w:t>形成具有鲜明地域特色的城</w:t>
      </w:r>
      <w:r>
        <w:rPr>
          <w:rFonts w:ascii="仿宋_GB2312" w:hAnsi="仿宋_GB2312" w:cs="仿宋_GB2312" w:hint="eastAsia"/>
          <w:color w:val="000000"/>
          <w:sz w:val="32"/>
          <w:szCs w:val="32"/>
        </w:rPr>
        <w:t>乡</w:t>
      </w:r>
      <w:r>
        <w:rPr>
          <w:rFonts w:ascii="仿宋_GB2312" w:hAnsi="仿宋_GB2312" w:cs="仿宋_GB2312" w:hint="eastAsia"/>
          <w:color w:val="000000"/>
          <w:sz w:val="32"/>
          <w:szCs w:val="32"/>
        </w:rPr>
        <w:t>地名体系</w:t>
      </w:r>
      <w:r>
        <w:rPr>
          <w:rFonts w:ascii="仿宋_GB2312" w:hAnsi="仿宋_GB2312" w:cs="仿宋_GB2312" w:hint="eastAsia"/>
          <w:color w:val="000000"/>
          <w:sz w:val="32"/>
          <w:szCs w:val="32"/>
        </w:rPr>
        <w:t>。城乡地名的命名更名，应当依法报请批准。</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第六章  保障与促进</w:t>
      </w:r>
    </w:p>
    <w:p>
      <w:pPr>
        <w:pStyle w:val="Style14"/>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val="false"/>
          <w:bCs/>
          <w:color w:val="000000"/>
          <w:kern w:val="2"/>
          <w:sz w:val="32"/>
          <w:szCs w:val="32"/>
        </w:rPr>
      </w:pPr>
      <w:r>
        <w:rPr>
          <w:rFonts w:eastAsia="黑体" w:cs="黑体" w:hint="eastAsia" w:ascii="黑体" w:hAnsi="黑体"/>
          <w:b w:val="false"/>
          <w:bCs/>
          <w:color w:val="000000"/>
          <w:kern w:val="2"/>
          <w:sz w:val="32"/>
          <w:szCs w:val="32"/>
        </w:rPr>
      </w:r>
    </w:p>
    <w:p>
      <w:pPr>
        <w:pStyle w:val="Style14"/>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kern w:val="2"/>
          <w:sz w:val="32"/>
          <w:szCs w:val="32"/>
        </w:rPr>
        <w:t xml:space="preserve">第三十一条 </w:t>
      </w:r>
      <w:r>
        <w:rPr>
          <w:rFonts w:ascii="仿宋_GB2312" w:hAnsi="仿宋_GB2312" w:cs="仿宋_GB2312" w:hint="eastAsia" w:eastAsia="仿宋_GB2312"/>
          <w:b/>
          <w:bCs/>
          <w:color w:val="000000"/>
          <w:kern w:val="0"/>
          <w:sz w:val="32"/>
          <w:szCs w:val="32"/>
        </w:rPr>
        <w:t xml:space="preserve"> </w:t>
      </w:r>
      <w:r>
        <w:rPr>
          <w:rFonts w:ascii="仿宋_GB2312" w:hAnsi="仿宋_GB2312" w:cs="仿宋_GB2312" w:hint="eastAsia" w:eastAsia="仿宋_GB2312"/>
          <w:color w:val="000000"/>
          <w:sz w:val="32"/>
          <w:szCs w:val="32"/>
        </w:rPr>
        <w:t>市、县（市、区）人民政府应当建立生态文明建设信息平台，依法将生态文明建设信息向社会公开。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依法纳入信息公开范围的企业应当准确、及时公开生产经营过程中的</w:t>
      </w:r>
      <w:r>
        <w:rPr>
          <w:rFonts w:ascii="仿宋_GB2312" w:hAnsi="仿宋_GB2312" w:cs="仿宋_GB2312" w:hint="eastAsia"/>
          <w:color w:val="000000"/>
          <w:sz w:val="32"/>
          <w:szCs w:val="32"/>
        </w:rPr>
        <w:t>能耗、污染物排放等</w:t>
      </w:r>
      <w:r>
        <w:rPr>
          <w:rFonts w:ascii="仿宋_GB2312" w:hAnsi="仿宋_GB2312" w:cs="仿宋_GB2312" w:hint="eastAsia"/>
          <w:color w:val="000000"/>
          <w:sz w:val="32"/>
          <w:szCs w:val="32"/>
        </w:rPr>
        <w:t>生态文明建设相关信息。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kern w:val="2"/>
          <w:sz w:val="32"/>
          <w:szCs w:val="32"/>
        </w:rPr>
        <w:t xml:space="preserve">第三十二条  </w:t>
      </w:r>
      <w:r>
        <w:rPr>
          <w:rFonts w:ascii="仿宋_GB2312" w:hAnsi="仿宋_GB2312" w:cs="仿宋_GB2312" w:hint="eastAsia"/>
          <w:color w:val="000000"/>
          <w:sz w:val="32"/>
          <w:szCs w:val="32"/>
        </w:rPr>
        <w:t>市、县（市、区）人民政府应当</w:t>
      </w:r>
      <w:r>
        <w:rPr>
          <w:rFonts w:ascii="仿宋_GB2312" w:hAnsi="仿宋_GB2312" w:cs="仿宋_GB2312" w:hint="eastAsia"/>
          <w:color w:val="000000"/>
          <w:sz w:val="32"/>
          <w:szCs w:val="32"/>
        </w:rPr>
        <w:t>建立科学有效的生态环境风险防范体系和突发环境事件应急机制，</w:t>
      </w:r>
      <w:r>
        <w:rPr>
          <w:rFonts w:ascii="仿宋_GB2312" w:hAnsi="仿宋_GB2312" w:cs="仿宋_GB2312" w:hint="eastAsia"/>
          <w:color w:val="000000"/>
          <w:sz w:val="32"/>
          <w:szCs w:val="32"/>
        </w:rPr>
        <w:t>制定生态环境突发事件应急预案，完善应急处置措施。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color w:val="000000"/>
          <w:sz w:val="32"/>
          <w:szCs w:val="32"/>
        </w:rPr>
        <w:t>因生态灾害、突发事件导致生态环境受到破坏或者人民群众生产生活受到影响的，市、县（市、区）人民政府应当立即启动应急预案，开展救灾救济和生态修复工作。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黑体" w:hint="eastAsia" w:eastAsia="黑体"/>
          <w:b w:val="false"/>
          <w:bCs/>
          <w:color w:val="000000"/>
          <w:sz w:val="32"/>
          <w:szCs w:val="32"/>
        </w:rPr>
        <w:t xml:space="preserve">第三十三条  </w:t>
      </w:r>
      <w:r>
        <w:rPr>
          <w:rFonts w:ascii="仿宋_GB2312" w:hAnsi="仿宋_GB2312" w:cs="仿宋_GB2312" w:hint="eastAsia"/>
          <w:color w:val="000000"/>
          <w:kern w:val="0"/>
          <w:sz w:val="32"/>
          <w:szCs w:val="32"/>
        </w:rPr>
        <w:t>建立生态环境损害赔偿机制</w:t>
      </w:r>
      <w:r>
        <w:rPr>
          <w:rFonts w:ascii="仿宋_GB2312" w:hAnsi="仿宋_GB2312" w:cs="仿宋_GB2312" w:hint="eastAsia"/>
          <w:color w:val="000000"/>
          <w:kern w:val="0"/>
          <w:sz w:val="32"/>
          <w:szCs w:val="32"/>
        </w:rPr>
        <w:t>，</w:t>
      </w:r>
      <w:r>
        <w:rPr>
          <w:rFonts w:ascii="仿宋_GB2312" w:hAnsi="仿宋_GB2312" w:cs="仿宋_GB2312" w:hint="eastAsia"/>
          <w:color w:val="000000"/>
          <w:kern w:val="0"/>
          <w:sz w:val="32"/>
          <w:szCs w:val="32"/>
        </w:rPr>
        <w:t>应当遵循谁污染谁治理，谁损害谁赔偿的原则。</w:t>
      </w:r>
    </w:p>
    <w:p>
      <w:pPr>
        <w:pStyle w:val="Style14"/>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kern w:val="2"/>
          <w:sz w:val="32"/>
          <w:szCs w:val="32"/>
        </w:rPr>
        <w:t xml:space="preserve">第三十四条  </w:t>
      </w:r>
      <w:r>
        <w:rPr>
          <w:rFonts w:ascii="仿宋_GB2312" w:hAnsi="仿宋_GB2312" w:cs="仿宋_GB2312" w:hint="eastAsia" w:eastAsia="仿宋_GB2312"/>
          <w:color w:val="000000"/>
          <w:sz w:val="32"/>
          <w:szCs w:val="32"/>
        </w:rPr>
        <w:t>各级人民政府应当将生态环境监管纳入网格化管理，加强生态环境保护监管力度。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color w:val="000000"/>
          <w:sz w:val="32"/>
          <w:szCs w:val="32"/>
        </w:rPr>
        <w:t>生态环境主管部门和其他有关部门应当加强生态环境保护执法力度，综合</w:t>
      </w:r>
      <w:r>
        <w:rPr>
          <w:rFonts w:ascii="仿宋_GB2312" w:hAnsi="仿宋_GB2312" w:cs="仿宋_GB2312" w:hint="eastAsia"/>
          <w:color w:val="000000"/>
          <w:sz w:val="32"/>
          <w:szCs w:val="32"/>
        </w:rPr>
        <w:t>运用</w:t>
      </w:r>
      <w:r>
        <w:rPr>
          <w:rFonts w:ascii="仿宋_GB2312" w:hAnsi="仿宋_GB2312" w:cs="仿宋_GB2312" w:hint="eastAsia"/>
          <w:color w:val="000000"/>
          <w:sz w:val="32"/>
          <w:szCs w:val="32"/>
        </w:rPr>
        <w:t>大数据平台等</w:t>
      </w:r>
      <w:r>
        <w:rPr>
          <w:rFonts w:ascii="仿宋_GB2312" w:hAnsi="仿宋_GB2312" w:cs="仿宋_GB2312" w:hint="eastAsia"/>
          <w:color w:val="000000"/>
          <w:sz w:val="32"/>
          <w:szCs w:val="32"/>
        </w:rPr>
        <w:t>科技手段</w:t>
      </w:r>
      <w:r>
        <w:rPr>
          <w:rFonts w:ascii="仿宋_GB2312" w:hAnsi="仿宋_GB2312" w:cs="仿宋_GB2312" w:hint="eastAsia"/>
          <w:color w:val="000000"/>
          <w:sz w:val="32"/>
          <w:szCs w:val="32"/>
        </w:rPr>
        <w:t>加强生态环境监管，提升生态环境执法的科学性和实效性。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color w:val="000000"/>
          <w:sz w:val="32"/>
          <w:szCs w:val="32"/>
        </w:rPr>
        <w:t xml:space="preserve">第三十五条  </w:t>
      </w:r>
      <w:r>
        <w:rPr>
          <w:rStyle w:val="Strong"/>
          <w:rFonts w:ascii="仿宋_GB2312" w:hAnsi="仿宋_GB2312" w:cs="仿宋_GB2312" w:hint="eastAsia"/>
          <w:b w:val="false"/>
          <w:bCs w:val="false"/>
          <w:color w:val="000000"/>
          <w:kern w:val="0"/>
          <w:sz w:val="32"/>
          <w:szCs w:val="32"/>
          <w:shd w:fill="FFFFFF" w:val="clear"/>
        </w:rPr>
        <w:t>各级人民政府应当</w:t>
      </w:r>
      <w:r>
        <w:rPr>
          <w:rStyle w:val="Strong"/>
          <w:rFonts w:ascii="仿宋_GB2312" w:hAnsi="仿宋_GB2312" w:cs="仿宋_GB2312" w:hint="eastAsia"/>
          <w:b w:val="false"/>
          <w:bCs w:val="false"/>
          <w:color w:val="000000"/>
          <w:kern w:val="0"/>
          <w:sz w:val="32"/>
          <w:szCs w:val="32"/>
          <w:shd w:fill="FFFFFF" w:val="clear"/>
        </w:rPr>
        <w:t>依法</w:t>
      </w:r>
      <w:r>
        <w:rPr>
          <w:rStyle w:val="Strong"/>
          <w:rFonts w:ascii="仿宋_GB2312" w:hAnsi="仿宋_GB2312" w:cs="仿宋_GB2312" w:hint="eastAsia"/>
          <w:b w:val="false"/>
          <w:bCs w:val="false"/>
          <w:color w:val="000000"/>
          <w:kern w:val="0"/>
          <w:sz w:val="32"/>
          <w:szCs w:val="32"/>
          <w:shd w:fill="FFFFFF" w:val="clear"/>
        </w:rPr>
        <w:t>加强生态环境行政执法与刑事司法的衔接，建立案件移送、案情通报、信息共享等制度。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color w:val="000000"/>
          <w:sz w:val="32"/>
          <w:szCs w:val="32"/>
        </w:rPr>
        <w:t xml:space="preserve">第三十六条  </w:t>
      </w:r>
      <w:r>
        <w:rPr>
          <w:rStyle w:val="Strong"/>
          <w:rFonts w:ascii="仿宋_GB2312" w:hAnsi="仿宋_GB2312" w:cs="仿宋_GB2312" w:hint="eastAsia"/>
          <w:b w:val="false"/>
          <w:bCs w:val="false"/>
          <w:color w:val="000000"/>
          <w:kern w:val="0"/>
          <w:sz w:val="32"/>
          <w:szCs w:val="32"/>
          <w:shd w:fill="FFFFFF" w:val="clear"/>
        </w:rPr>
        <w:t>鼓励企业事业单位、高等院校、科研机构、社会团体和民间组织等参与生态文明建设相关的科学研究和科技创新，加快科技成果转化。</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第七章  监督与考核</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b w:val="false"/>
          <w:bCs/>
          <w:color w:val="000000"/>
          <w:kern w:val="0"/>
          <w:sz w:val="32"/>
          <w:szCs w:val="32"/>
        </w:rPr>
      </w:pPr>
      <w:r>
        <w:rPr>
          <w:rFonts w:eastAsia="黑体" w:cs="黑体" w:hint="eastAsia" w:ascii="黑体" w:hAnsi="黑体"/>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color w:val="000000"/>
          <w:sz w:val="32"/>
          <w:szCs w:val="32"/>
        </w:rPr>
        <w:t xml:space="preserve">第三十七条 </w:t>
      </w:r>
      <w:r>
        <w:rPr>
          <w:rFonts w:ascii="仿宋_GB2312" w:hAnsi="仿宋_GB2312" w:cs="仿宋_GB2312" w:hint="eastAsia"/>
          <w:b/>
          <w:bCs/>
          <w:color w:val="000000"/>
          <w:kern w:val="0"/>
          <w:sz w:val="32"/>
          <w:szCs w:val="32"/>
        </w:rPr>
        <w:t xml:space="preserve"> </w:t>
      </w:r>
      <w:r>
        <w:rPr>
          <w:rFonts w:ascii="仿宋_GB2312" w:hAnsi="仿宋_GB2312" w:cs="仿宋_GB2312" w:hint="eastAsia"/>
          <w:color w:val="000000"/>
          <w:kern w:val="2"/>
          <w:sz w:val="32"/>
          <w:szCs w:val="32"/>
        </w:rPr>
        <w:t>市、县</w:t>
      </w:r>
      <w:r>
        <w:rPr>
          <w:rFonts w:ascii="仿宋_GB2312" w:hAnsi="仿宋_GB2312" w:cs="仿宋_GB2312" w:hint="eastAsia"/>
          <w:color w:val="000000"/>
          <w:sz w:val="32"/>
          <w:szCs w:val="32"/>
        </w:rPr>
        <w:t>（市、区）</w:t>
      </w:r>
      <w:r>
        <w:rPr>
          <w:rFonts w:ascii="仿宋_GB2312" w:hAnsi="仿宋_GB2312" w:cs="仿宋_GB2312" w:hint="eastAsia"/>
          <w:color w:val="000000"/>
          <w:kern w:val="2"/>
          <w:sz w:val="32"/>
          <w:szCs w:val="32"/>
        </w:rPr>
        <w:t>人民代表大会常务委员会应当加强对生态文明建设的监督。</w:t>
      </w:r>
      <w:r>
        <w:rPr>
          <w:rFonts w:eastAsia="仿宋_GB2312" w:cs="仿宋_GB2312" w:hint="eastAsia" w:ascii="仿宋_GB2312" w:hAnsi="仿宋_GB2312"/>
          <w:color w:val="000000"/>
          <w:kern w:val="2"/>
          <w:sz w:val="32"/>
          <w:szCs w:val="32"/>
        </w:rPr>
        <w:br/>
      </w:r>
      <w:r>
        <w:rPr>
          <w:rFonts w:ascii="仿宋_GB2312" w:hAnsi="仿宋_GB2312" w:cs="仿宋_GB2312" w:hint="eastAsia"/>
          <w:color w:val="000000"/>
          <w:kern w:val="2"/>
          <w:sz w:val="32"/>
          <w:szCs w:val="32"/>
        </w:rPr>
        <w:t>　　市、县（市、区）人民政府应当</w:t>
      </w:r>
      <w:r>
        <w:rPr>
          <w:rFonts w:ascii="仿宋_GB2312" w:hAnsi="仿宋_GB2312" w:cs="仿宋_GB2312" w:hint="eastAsia"/>
          <w:color w:val="000000"/>
          <w:kern w:val="2"/>
          <w:sz w:val="32"/>
          <w:szCs w:val="32"/>
        </w:rPr>
        <w:t>每年</w:t>
      </w:r>
      <w:r>
        <w:rPr>
          <w:rFonts w:ascii="仿宋_GB2312" w:hAnsi="仿宋_GB2312" w:cs="仿宋_GB2312" w:hint="eastAsia"/>
          <w:color w:val="000000"/>
          <w:kern w:val="2"/>
          <w:sz w:val="32"/>
          <w:szCs w:val="32"/>
        </w:rPr>
        <w:t>向</w:t>
      </w:r>
      <w:r>
        <w:rPr>
          <w:rFonts w:ascii="仿宋_GB2312" w:hAnsi="仿宋_GB2312" w:cs="仿宋_GB2312" w:hint="eastAsia"/>
          <w:color w:val="000000"/>
          <w:kern w:val="2"/>
          <w:sz w:val="32"/>
          <w:szCs w:val="32"/>
        </w:rPr>
        <w:t>同</w:t>
      </w:r>
      <w:r>
        <w:rPr>
          <w:rFonts w:ascii="仿宋_GB2312" w:hAnsi="仿宋_GB2312" w:cs="仿宋_GB2312" w:hint="eastAsia"/>
          <w:color w:val="000000"/>
          <w:kern w:val="2"/>
          <w:sz w:val="32"/>
          <w:szCs w:val="32"/>
        </w:rPr>
        <w:t>级人民代表大会或者常务委员会报告生态文明建设规划执行情况。</w:t>
      </w:r>
    </w:p>
    <w:p>
      <w:pPr>
        <w:pStyle w:val="Style14"/>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textAlignment w:val="auto"/>
        <w:rPr>
          <w:rStyle w:val="Strong"/>
          <w:rFonts w:ascii="仿宋_GB2312" w:hAnsi="仿宋_GB2312" w:eastAsia="仿宋_GB2312" w:cs="仿宋_GB2312" w:hint="eastAsia"/>
          <w:b w:val="false"/>
          <w:bCs w:val="false"/>
          <w:color w:val="000000"/>
          <w:kern w:val="0"/>
          <w:sz w:val="32"/>
          <w:szCs w:val="32"/>
          <w:shd w:fill="FFFFFF" w:val="clear"/>
        </w:rPr>
      </w:pPr>
      <w:r>
        <w:rPr>
          <w:rFonts w:ascii="黑体" w:hAnsi="黑体" w:cs="黑体" w:hint="eastAsia" w:eastAsia="黑体"/>
          <w:b w:val="false"/>
          <w:bCs/>
          <w:color w:val="000000"/>
          <w:kern w:val="2"/>
          <w:sz w:val="32"/>
          <w:szCs w:val="32"/>
        </w:rPr>
        <w:t xml:space="preserve">第三十八条 </w:t>
      </w:r>
      <w:r>
        <w:rPr>
          <w:rFonts w:ascii="仿宋_GB2312" w:hAnsi="仿宋_GB2312" w:cs="仿宋_GB2312" w:hint="eastAsia" w:eastAsia="仿宋_GB2312"/>
          <w:b/>
          <w:bCs/>
          <w:color w:val="000000"/>
          <w:kern w:val="0"/>
          <w:sz w:val="32"/>
          <w:szCs w:val="32"/>
        </w:rPr>
        <w:t xml:space="preserve"> </w:t>
      </w:r>
      <w:r>
        <w:rPr>
          <w:rStyle w:val="Strong"/>
          <w:rFonts w:ascii="仿宋_GB2312" w:hAnsi="仿宋_GB2312" w:cs="仿宋_GB2312" w:hint="eastAsia" w:eastAsia="仿宋_GB2312"/>
          <w:b w:val="false"/>
          <w:bCs w:val="false"/>
          <w:color w:val="000000"/>
          <w:kern w:val="0"/>
          <w:sz w:val="32"/>
          <w:szCs w:val="32"/>
          <w:shd w:fill="FFFFFF" w:val="clear"/>
        </w:rPr>
        <w:t>市、县</w:t>
      </w:r>
      <w:r>
        <w:rPr>
          <w:rFonts w:ascii="仿宋_GB2312" w:hAnsi="仿宋_GB2312" w:cs="仿宋_GB2312" w:hint="eastAsia" w:eastAsia="仿宋_GB2312"/>
          <w:color w:val="000000"/>
          <w:sz w:val="32"/>
          <w:szCs w:val="32"/>
        </w:rPr>
        <w:t>（市、区）</w:t>
      </w:r>
      <w:r>
        <w:rPr>
          <w:rStyle w:val="Strong"/>
          <w:rFonts w:ascii="仿宋_GB2312" w:hAnsi="仿宋_GB2312" w:cs="仿宋_GB2312" w:hint="eastAsia" w:eastAsia="仿宋_GB2312"/>
          <w:b w:val="false"/>
          <w:bCs w:val="false"/>
          <w:color w:val="000000"/>
          <w:kern w:val="0"/>
          <w:sz w:val="32"/>
          <w:szCs w:val="32"/>
          <w:shd w:fill="FFFFFF" w:val="clear"/>
        </w:rPr>
        <w:t>人民政府应当建立生态文明建设投诉举报受理制度，明确投诉举报部门和电话等信息，并向社会公布。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Style w:val="Strong"/>
          <w:rFonts w:ascii="仿宋_GB2312" w:hAnsi="仿宋_GB2312" w:cs="仿宋_GB2312" w:hint="eastAsia"/>
          <w:b w:val="false"/>
          <w:bCs w:val="false"/>
          <w:color w:val="000000"/>
          <w:kern w:val="0"/>
          <w:sz w:val="32"/>
          <w:szCs w:val="32"/>
          <w:shd w:fill="FFFFFF" w:val="clear"/>
        </w:rPr>
        <w:t>公民、法人和其他组织有权对危害和破坏生态文明建设的行为依法投诉举报。</w:t>
      </w:r>
    </w:p>
    <w:p>
      <w:pPr>
        <w:pStyle w:val="Style14"/>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b w:val="false"/>
          <w:bCs/>
          <w:color w:val="000000"/>
          <w:kern w:val="2"/>
          <w:sz w:val="32"/>
          <w:szCs w:val="32"/>
        </w:rPr>
        <w:t>第三十九条</w:t>
      </w:r>
      <w:r>
        <w:rPr>
          <w:rFonts w:ascii="仿宋_GB2312" w:hAnsi="仿宋_GB2312" w:cs="仿宋_GB2312" w:hint="eastAsia" w:eastAsia="仿宋_GB2312"/>
          <w:b/>
          <w:bCs/>
          <w:color w:val="000000"/>
          <w:kern w:val="0"/>
          <w:sz w:val="32"/>
          <w:szCs w:val="32"/>
        </w:rPr>
        <w:t xml:space="preserve">  </w:t>
      </w:r>
      <w:r>
        <w:rPr>
          <w:rFonts w:ascii="仿宋_GB2312" w:hAnsi="仿宋_GB2312" w:cs="仿宋_GB2312" w:hint="eastAsia" w:eastAsia="仿宋_GB2312"/>
          <w:color w:val="000000"/>
          <w:sz w:val="32"/>
          <w:szCs w:val="32"/>
          <w:shd w:fill="FFFFFF" w:val="clear"/>
        </w:rPr>
        <w:t>市、县</w:t>
      </w:r>
      <w:r>
        <w:rPr>
          <w:rFonts w:ascii="仿宋_GB2312" w:hAnsi="仿宋_GB2312" w:cs="仿宋_GB2312" w:hint="eastAsia" w:eastAsia="仿宋_GB2312"/>
          <w:color w:val="000000"/>
          <w:sz w:val="32"/>
          <w:szCs w:val="32"/>
        </w:rPr>
        <w:t>（市、区）</w:t>
      </w:r>
      <w:r>
        <w:rPr>
          <w:rFonts w:ascii="仿宋_GB2312" w:hAnsi="仿宋_GB2312" w:cs="仿宋_GB2312" w:hint="eastAsia" w:eastAsia="仿宋_GB2312"/>
          <w:color w:val="000000"/>
          <w:sz w:val="32"/>
          <w:szCs w:val="32"/>
          <w:shd w:fill="FFFFFF" w:val="clear"/>
        </w:rPr>
        <w:t>人民政府应当依据生态文明建设指标体系，建立生态文明建设目标责任制和考核评价制度，将目标任务完成情况作为对相关责任部门及其负责人、下级人民政府及其负责人考核评价的重要依据。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color w:val="000000"/>
          <w:sz w:val="32"/>
          <w:szCs w:val="32"/>
          <w:shd w:fill="FFFFFF" w:val="clear"/>
        </w:rPr>
        <w:t>审计机关应当按照有关规定对领导干部实行自然资源资产离任审计。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center"/>
        <w:textAlignment w:val="auto"/>
        <w:rPr>
          <w:rFonts w:ascii="黑体" w:hAnsi="黑体" w:eastAsia="黑体" w:cs="黑体" w:hint="eastAsia"/>
          <w:b w:val="false"/>
          <w:bCs w:val="false"/>
          <w:color w:val="000000"/>
          <w:kern w:val="0"/>
          <w:sz w:val="32"/>
          <w:szCs w:val="32"/>
          <w:shd w:fill="FFFFFF" w:val="clear"/>
        </w:rPr>
      </w:pPr>
      <w:r>
        <w:rPr>
          <w:rFonts w:eastAsia="黑体" w:cs="黑体" w:hint="eastAsia" w:ascii="黑体" w:hAnsi="黑体"/>
          <w:b w:val="false"/>
          <w:bCs w:val="false"/>
          <w:color w:val="000000"/>
          <w:kern w:val="0"/>
          <w:sz w:val="32"/>
          <w:szCs w:val="32"/>
          <w:shd w:fill="FFFFFF" w:val="clea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第八章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黑体" w:hint="eastAsia"/>
          <w:b w:val="false"/>
          <w:bCs/>
          <w:color w:val="000000"/>
          <w:kern w:val="0"/>
          <w:sz w:val="32"/>
          <w:szCs w:val="32"/>
        </w:rPr>
      </w:pPr>
      <w:r>
        <w:rPr>
          <w:rFonts w:eastAsia="黑体" w:cs="黑体" w:hint="eastAsia" w:ascii="黑体" w:hAnsi="黑体"/>
          <w:b w:val="false"/>
          <w:bCs/>
          <w:color w:val="000000"/>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center"/>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b w:val="false"/>
          <w:bCs/>
          <w:color w:val="000000"/>
          <w:sz w:val="32"/>
          <w:szCs w:val="32"/>
        </w:rPr>
        <w:t>第四十条</w:t>
      </w:r>
      <w:r>
        <w:rPr>
          <w:rFonts w:ascii="仿宋_GB2312" w:hAnsi="仿宋_GB2312" w:cs="仿宋_GB2312" w:hint="eastAsia"/>
          <w:b/>
          <w:bCs/>
          <w:color w:val="000000"/>
          <w:kern w:val="0"/>
          <w:sz w:val="32"/>
          <w:szCs w:val="32"/>
        </w:rPr>
        <w:t xml:space="preserve"> </w:t>
      </w:r>
      <w:r>
        <w:rPr>
          <w:rFonts w:ascii="仿宋_GB2312" w:hAnsi="仿宋_GB2312" w:cs="仿宋_GB2312" w:hint="eastAsia"/>
          <w:b/>
          <w:bCs/>
          <w:color w:val="000000"/>
          <w:kern w:val="0"/>
          <w:sz w:val="32"/>
          <w:szCs w:val="32"/>
        </w:rPr>
        <w:t xml:space="preserve"> </w:t>
      </w:r>
      <w:r>
        <w:rPr>
          <w:rFonts w:ascii="仿宋_GB2312" w:hAnsi="仿宋_GB2312" w:cs="仿宋_GB2312" w:hint="eastAsia"/>
          <w:color w:val="000000"/>
          <w:sz w:val="32"/>
          <w:szCs w:val="32"/>
          <w:shd w:fill="FFFFFF" w:val="clear"/>
        </w:rPr>
        <w:t>国家机关及其工作人员在生态文明建设中，</w:t>
      </w:r>
      <w:r>
        <w:rPr>
          <w:rFonts w:ascii="仿宋_GB2312" w:hAnsi="仿宋_GB2312" w:cs="仿宋_GB2312" w:hint="eastAsia"/>
          <w:color w:val="000000"/>
          <w:sz w:val="32"/>
          <w:szCs w:val="32"/>
          <w:shd w:fill="FFFFFF" w:val="clear"/>
        </w:rPr>
        <w:t>有</w:t>
      </w:r>
      <w:r>
        <w:rPr>
          <w:rFonts w:ascii="仿宋_GB2312" w:hAnsi="仿宋_GB2312" w:cs="仿宋_GB2312" w:hint="eastAsia"/>
          <w:color w:val="000000"/>
          <w:sz w:val="32"/>
          <w:szCs w:val="32"/>
          <w:shd w:fill="FFFFFF" w:val="clear"/>
        </w:rPr>
        <w:t>玩忽职守、徇私舞弊、滥用职权</w:t>
      </w:r>
      <w:r>
        <w:rPr>
          <w:rFonts w:ascii="仿宋_GB2312" w:hAnsi="仿宋_GB2312" w:cs="仿宋_GB2312" w:hint="eastAsia"/>
          <w:color w:val="000000"/>
          <w:sz w:val="32"/>
          <w:szCs w:val="32"/>
          <w:shd w:fill="FFFFFF" w:val="clear"/>
        </w:rPr>
        <w:t>行为</w:t>
      </w:r>
      <w:r>
        <w:rPr>
          <w:rFonts w:ascii="仿宋_GB2312" w:hAnsi="仿宋_GB2312" w:cs="仿宋_GB2312" w:hint="eastAsia"/>
          <w:color w:val="000000"/>
          <w:sz w:val="32"/>
          <w:szCs w:val="32"/>
          <w:shd w:fill="FFFFFF" w:val="clear"/>
        </w:rPr>
        <w:t>的</w:t>
      </w:r>
      <w:r>
        <w:rPr>
          <w:rFonts w:ascii="仿宋_GB2312" w:hAnsi="仿宋_GB2312" w:cs="仿宋_GB2312" w:hint="eastAsia"/>
          <w:color w:val="000000"/>
          <w:sz w:val="32"/>
          <w:szCs w:val="32"/>
          <w:shd w:fill="FFFFFF" w:val="clear"/>
        </w:rPr>
        <w:t>，</w:t>
      </w:r>
      <w:r>
        <w:rPr>
          <w:rFonts w:ascii="仿宋_GB2312" w:hAnsi="仿宋_GB2312" w:cs="仿宋_GB2312" w:hint="eastAsia"/>
          <w:color w:val="000000"/>
          <w:sz w:val="32"/>
          <w:szCs w:val="32"/>
          <w:shd w:fill="FFFFFF" w:val="clear"/>
        </w:rPr>
        <w:t>对直接负责的主管人员和其他责任人员依法给予处分；构成犯罪的，依法追究刑事责任</w:t>
      </w:r>
      <w:r>
        <w:rPr>
          <w:rFonts w:ascii="仿宋_GB2312" w:hAnsi="仿宋_GB2312" w:cs="仿宋_GB2312" w:hint="eastAsia"/>
          <w:color w:val="000000"/>
          <w:sz w:val="32"/>
          <w:szCs w:val="32"/>
          <w:shd w:fill="FFFFFF" w:val="clear"/>
        </w:rPr>
        <w:t>。</w:t>
      </w:r>
      <w:r>
        <w:rPr>
          <w:rFonts w:eastAsia="仿宋_GB2312" w:cs="仿宋_GB2312" w:hint="eastAsia" w:ascii="仿宋_GB2312" w:hAnsi="仿宋_GB2312"/>
          <w:color w:val="000000"/>
          <w:sz w:val="32"/>
          <w:szCs w:val="32"/>
          <w:shd w:fill="FFFFFF" w:val="clear"/>
        </w:rPr>
        <w:b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b w:val="false"/>
          <w:bCs/>
          <w:color w:val="000000"/>
          <w:kern w:val="0"/>
          <w:sz w:val="32"/>
          <w:szCs w:val="32"/>
        </w:rPr>
      </w:pPr>
      <w:r>
        <w:rPr>
          <w:rFonts w:eastAsia="黑体" w:cs="黑体" w:hint="eastAsia" w:ascii="黑体" w:hAnsi="黑体"/>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Pr>
      <w:r>
        <w:rPr>
          <w:rFonts w:ascii="黑体" w:hAnsi="黑体" w:cs="黑体" w:hint="eastAsia" w:eastAsia="黑体"/>
          <w:b w:val="false"/>
          <w:bCs/>
          <w:color w:val="000000"/>
          <w:sz w:val="32"/>
          <w:szCs w:val="32"/>
        </w:rPr>
        <w:t>第四十一条</w:t>
      </w:r>
      <w:r>
        <w:rPr>
          <w:rFonts w:ascii="仿宋_GB2312" w:hAnsi="仿宋_GB2312" w:cs="仿宋_GB2312" w:hint="eastAsia"/>
          <w:b/>
          <w:bCs/>
          <w:color w:val="000000"/>
          <w:kern w:val="0"/>
          <w:sz w:val="32"/>
          <w:szCs w:val="32"/>
        </w:rPr>
        <w:t xml:space="preserve">  </w:t>
      </w:r>
      <w:r>
        <w:rPr>
          <w:rFonts w:ascii="仿宋_GB2312" w:hAnsi="仿宋_GB2312" w:cs="仿宋_GB2312" w:hint="eastAsia"/>
          <w:b w:val="false"/>
          <w:bCs w:val="false"/>
          <w:color w:val="000000"/>
          <w:kern w:val="0"/>
          <w:sz w:val="32"/>
          <w:szCs w:val="32"/>
        </w:rPr>
        <w:t>本条例自</w:t>
      </w:r>
      <w:r>
        <w:rPr>
          <w:rFonts w:cs="仿宋_GB2312" w:hint="eastAsia" w:ascii="仿宋_GB2312" w:hAnsi="仿宋_GB2312"/>
          <w:b w:val="false"/>
          <w:bCs w:val="false"/>
          <w:color w:val="000000"/>
          <w:kern w:val="0"/>
          <w:sz w:val="32"/>
          <w:szCs w:val="32"/>
        </w:rPr>
        <w:t>2019</w:t>
      </w:r>
      <w:r>
        <w:rPr>
          <w:rFonts w:ascii="仿宋_GB2312" w:hAnsi="仿宋_GB2312" w:cs="仿宋_GB2312" w:hint="eastAsia"/>
          <w:b w:val="false"/>
          <w:bCs w:val="false"/>
          <w:color w:val="000000"/>
          <w:kern w:val="0"/>
          <w:sz w:val="32"/>
          <w:szCs w:val="32"/>
        </w:rPr>
        <w:t>年</w:t>
      </w:r>
      <w:r>
        <w:rPr>
          <w:rFonts w:cs="仿宋_GB2312" w:hint="eastAsia" w:ascii="仿宋_GB2312" w:hAnsi="仿宋_GB2312"/>
          <w:b w:val="false"/>
          <w:bCs w:val="false"/>
          <w:color w:val="000000"/>
          <w:kern w:val="0"/>
          <w:sz w:val="32"/>
          <w:szCs w:val="32"/>
        </w:rPr>
        <w:t>9</w:t>
      </w:r>
      <w:r>
        <w:rPr>
          <w:rFonts w:ascii="仿宋_GB2312" w:hAnsi="仿宋_GB2312" w:cs="仿宋_GB2312" w:hint="eastAsia"/>
          <w:b w:val="false"/>
          <w:bCs w:val="false"/>
          <w:color w:val="000000"/>
          <w:kern w:val="0"/>
          <w:sz w:val="32"/>
          <w:szCs w:val="32"/>
        </w:rPr>
        <w:t>月</w:t>
      </w:r>
      <w:r>
        <w:rPr>
          <w:rFonts w:cs="仿宋_GB2312" w:hint="eastAsia" w:ascii="仿宋_GB2312" w:hAnsi="仿宋_GB2312"/>
          <w:b w:val="false"/>
          <w:bCs w:val="false"/>
          <w:color w:val="000000"/>
          <w:kern w:val="0"/>
          <w:sz w:val="32"/>
          <w:szCs w:val="32"/>
        </w:rPr>
        <w:t>1</w:t>
      </w:r>
      <w:r>
        <w:rPr>
          <w:rFonts w:ascii="仿宋_GB2312" w:hAnsi="仿宋_GB2312" w:cs="仿宋_GB2312" w:hint="eastAsia"/>
          <w:b w:val="false"/>
          <w:bCs w:val="false"/>
          <w:color w:val="000000"/>
          <w:kern w:val="0"/>
          <w:sz w:val="32"/>
          <w:szCs w:val="32"/>
        </w:rPr>
        <w:t>日起施行。</w:t>
      </w:r>
    </w:p>
    <w:sectPr>
      <w:headerReference w:type="default" r:id="rId2"/>
      <w:footerReference w:type="default" r:id="rId3"/>
      <w:type w:val="nextPage"/>
      <w:pgSz w:w="11906" w:h="16838"/>
      <w:pgMar w:left="1587" w:right="1474" w:gutter="0" w:header="851" w:top="2098" w:footer="992"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Arial">
    <w:charset w:val="01"/>
    <w:family w:val="swiss"/>
    <w:pitch w:val="default"/>
  </w:font>
  <w:font w:name="Tahoma">
    <w:charset w:val="00" w:characterSet="windows-1252"/>
    <w:family w:val="swiss"/>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70815" cy="260350"/>
              <wp:effectExtent l="0" t="0" r="0" b="0"/>
              <wp:wrapNone/>
              <wp:docPr id="1" name="Frame1"/>
              <a:graphic xmlns:a="http://schemas.openxmlformats.org/drawingml/2006/main">
                <a:graphicData uri="http://schemas.microsoft.com/office/word/2010/wordprocessingShape">
                  <wps:wsp>
                    <wps:cNvSpPr txBox="1"/>
                    <wps:spPr>
                      <a:xfrm>
                        <a:off x="0" y="0"/>
                        <a:ext cx="170815" cy="260350"/>
                      </a:xfrm>
                      <a:prstGeom prst="rect"/>
                      <a:solidFill>
                        <a:srgbClr val="FFFFFF">
                          <a:alpha val="0"/>
                        </a:srgbClr>
                      </a:solidFill>
                    </wps:spPr>
                    <wps:txbx>
                      <w:txbxContent>
                        <w:p>
                          <w:pPr>
                            <w:pStyle w:val="Footer"/>
                            <w:rPr>
                              <w:rFonts w:ascii="宋体" w:hAnsi="宋体" w:eastAsia="宋体" w:cs="宋体" w:hint="eastAsia"/>
                              <w:sz w:val="24"/>
                              <w:szCs w:val="24"/>
                            </w:rPr>
                          </w:pPr>
                          <w:r>
                            <w:rPr>
                              <w:rFonts w:eastAsia="宋体" w:cs="宋体" w:hint="eastAsia" w:ascii="宋体" w:hAnsi="宋体"/>
                              <w:sz w:val="24"/>
                              <w:szCs w:val="24"/>
                            </w:rPr>
                            <w:fldChar w:fldCharType="begin"/>
                          </w:r>
                          <w:r>
                            <w:rPr>
                              <w:rFonts w:eastAsia="宋体" w:cs="宋体" w:hint="eastAsia" w:ascii="宋体" w:hAnsi="宋体"/>
                              <w:sz w:val="24"/>
                              <w:szCs w:val="24"/>
                            </w:rPr>
                            <w:instrText xml:space="preserve"> PAGE </w:instrText>
                          </w:r>
                          <w:r>
                            <w:rPr>
                              <w:rFonts w:eastAsia="宋体" w:cs="宋体" w:hint="eastAsia" w:ascii="宋体" w:hAnsi="宋体"/>
                              <w:sz w:val="24"/>
                              <w:szCs w:val="24"/>
                            </w:rPr>
                            <w:fldChar w:fldCharType="separate"/>
                          </w:r>
                          <w:r>
                            <w:rPr>
                              <w:rFonts w:eastAsia="宋体" w:cs="宋体" w:hint="eastAsia" w:ascii="宋体" w:hAnsi="宋体"/>
                              <w:sz w:val="24"/>
                              <w:szCs w:val="24"/>
                            </w:rPr>
                            <w:t>11</w:t>
                          </w:r>
                          <w:r>
                            <w:rPr>
                              <w:rFonts w:eastAsia="宋体" w:cs="宋体" w:hint="eastAsia" w:ascii="宋体" w:hAnsi="宋体"/>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13.45pt;height:20.5pt;mso-wrap-distance-left:9.05pt;mso-wrap-distance-right:0pt;mso-wrap-distance-top:0pt;mso-wrap-distance-bottom:0pt;margin-top:0pt;mso-position-vertical-relative:text;margin-left:428.8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4"/>
                        <w:szCs w:val="24"/>
                      </w:rPr>
                    </w:pPr>
                    <w:r>
                      <w:rPr>
                        <w:rFonts w:eastAsia="宋体" w:cs="宋体" w:hint="eastAsia" w:ascii="宋体" w:hAnsi="宋体"/>
                        <w:sz w:val="24"/>
                        <w:szCs w:val="24"/>
                      </w:rPr>
                      <w:fldChar w:fldCharType="begin"/>
                    </w:r>
                    <w:r>
                      <w:rPr>
                        <w:rFonts w:eastAsia="宋体" w:cs="宋体" w:hint="eastAsia" w:ascii="宋体" w:hAnsi="宋体"/>
                        <w:sz w:val="24"/>
                        <w:szCs w:val="24"/>
                      </w:rPr>
                      <w:instrText xml:space="preserve"> PAGE </w:instrText>
                    </w:r>
                    <w:r>
                      <w:rPr>
                        <w:rFonts w:eastAsia="宋体" w:cs="宋体" w:hint="eastAsia" w:ascii="宋体" w:hAnsi="宋体"/>
                        <w:sz w:val="24"/>
                        <w:szCs w:val="24"/>
                      </w:rPr>
                      <w:fldChar w:fldCharType="separate"/>
                    </w:r>
                    <w:r>
                      <w:rPr>
                        <w:rFonts w:eastAsia="宋体" w:cs="宋体" w:hint="eastAsia" w:ascii="宋体" w:hAnsi="宋体"/>
                        <w:sz w:val="24"/>
                        <w:szCs w:val="24"/>
                      </w:rPr>
                      <w:t>11</w:t>
                    </w:r>
                    <w:r>
                      <w:rPr>
                        <w:rFonts w:eastAsia="宋体" w:cs="宋体" w:hint="eastAsia" w:ascii="宋体" w:hAnsi="宋体"/>
                        <w:sz w:val="24"/>
                        <w:szCs w:val="24"/>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Strong">
    <w:name w:val="Strong"/>
    <w:basedOn w:val="Style13"/>
    <w:qFormat/>
    <w:rPr>
      <w:b/>
      <w:bCs/>
    </w:rPr>
  </w:style>
  <w:style w:type="character" w:styleId="PageNumber">
    <w:name w:val="page number"/>
    <w:basedOn w:val="Style13"/>
    <w:rPr/>
  </w:style>
  <w:style w:type="character" w:styleId="FontStyle12">
    <w:name w:val="Font Style12"/>
    <w:basedOn w:val="Style13"/>
    <w:qFormat/>
    <w:rPr>
      <w:rFonts w:ascii="Arial" w:hAnsi="Arial" w:cs="Arial"/>
      <w:color w:val="000000"/>
      <w:sz w:val="20"/>
      <w:szCs w:val="20"/>
    </w:rPr>
  </w:style>
  <w:style w:type="character" w:styleId="1Char">
    <w:name w:val="标题 1 Char"/>
    <w:basedOn w:val="Style13"/>
    <w:qFormat/>
    <w:rPr>
      <w:b/>
      <w:bCs/>
      <w:kern w:val="2"/>
      <w:sz w:val="44"/>
      <w:szCs w:val="44"/>
    </w:rPr>
  </w:style>
  <w:style w:type="character" w:styleId="Char">
    <w:name w:val="页眉 Char"/>
    <w:basedOn w:val="Style13"/>
    <w:qFormat/>
    <w:rPr>
      <w:kern w:val="2"/>
      <w:sz w:val="18"/>
      <w:szCs w:val="18"/>
    </w:rPr>
  </w:style>
  <w:style w:type="character" w:styleId="FontStyle13">
    <w:name w:val="Font Style13"/>
    <w:basedOn w:val="Style13"/>
    <w:qFormat/>
    <w:rPr>
      <w:rFonts w:ascii="Arial" w:hAnsi="Arial" w:cs="Arial"/>
      <w:color w:val="000000"/>
      <w:sz w:val="26"/>
      <w:szCs w:val="26"/>
    </w:rPr>
  </w:style>
  <w:style w:type="character" w:styleId="FontStyle14">
    <w:name w:val="Font Style14"/>
    <w:basedOn w:val="Style13"/>
    <w:qFormat/>
    <w:rPr>
      <w:rFonts w:ascii="Arial" w:hAnsi="Arial" w:cs="Arial"/>
      <w:color w:val="000000"/>
      <w:spacing w:val="-10"/>
      <w:sz w:val="28"/>
      <w:szCs w:val="28"/>
    </w:rPr>
  </w:style>
  <w:style w:type="character" w:styleId="FontStyle11">
    <w:name w:val="Font Style11"/>
    <w:basedOn w:val="Style13"/>
    <w:qFormat/>
    <w:rPr>
      <w:rFonts w:ascii="Arial" w:hAnsi="Arial" w:cs="Arial"/>
      <w:color w:val="000000"/>
      <w:sz w:val="36"/>
      <w:szCs w:val="36"/>
    </w:rPr>
  </w:style>
  <w:style w:type="character" w:styleId="Char1">
    <w:name w:val="批注文字 Char"/>
    <w:basedOn w:val="Style13"/>
    <w:qFormat/>
    <w:rPr>
      <w:kern w:val="2"/>
      <w:sz w:val="32"/>
      <w:szCs w:val="32"/>
    </w:rPr>
  </w:style>
  <w:style w:type="character" w:styleId="Char2">
    <w:name w:val="日期 Char"/>
    <w:basedOn w:val="Style13"/>
    <w:qFormat/>
    <w:rPr>
      <w:kern w:val="2"/>
      <w:sz w:val="34"/>
      <w:szCs w:val="24"/>
    </w:rPr>
  </w:style>
  <w:style w:type="character" w:styleId="FontStyle16">
    <w:name w:val="Font Style16"/>
    <w:basedOn w:val="Style13"/>
    <w:qFormat/>
    <w:rPr>
      <w:rFonts w:ascii="Arial" w:hAnsi="Arial" w:cs="Arial"/>
      <w:color w:val="000000"/>
      <w:sz w:val="20"/>
      <w:szCs w:val="20"/>
    </w:rPr>
  </w:style>
  <w:style w:type="character" w:styleId="FontStyle15">
    <w:name w:val="Font Style15"/>
    <w:basedOn w:val="Style13"/>
    <w:qFormat/>
    <w:rPr>
      <w:rFonts w:ascii="Arial" w:hAnsi="Arial" w:cs="Arial"/>
      <w:color w:val="000000"/>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仿宋_GB2312" w:hAnsi="仿宋_GB2312" w:eastAsia="仿宋_GB2312"/>
      <w:b/>
      <w:bCs/>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4">
    <w:name w:val="普通(网站)"/>
    <w:basedOn w:val="Normal"/>
    <w:qFormat/>
    <w:pPr>
      <w:widowControl/>
      <w:spacing w:before="280" w:after="280"/>
      <w:jc w:val="start"/>
    </w:pPr>
    <w:rPr>
      <w:rFonts w:ascii="宋体" w:hAnsi="宋体" w:eastAsia="仿宋"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tyle>
  <w:style w:type="paragraph" w:styleId="Style17">
    <w:name w:val="批注文字"/>
    <w:basedOn w:val="Normal"/>
    <w:qFormat/>
    <w:pPr>
      <w:jc w:val="start"/>
    </w:pPr>
    <w:rPr>
      <w:kern w:val="2"/>
      <w:sz w:val="32"/>
      <w:szCs w:val="32"/>
    </w:rPr>
  </w:style>
  <w:style w:type="paragraph" w:styleId="BodyTextIndent">
    <w:name w:val="Body Text Indent"/>
    <w:basedOn w:val="Normal"/>
    <w:pPr>
      <w:ind w:firstLine="600" w:start="0" w:end="0"/>
    </w:pPr>
    <w:rPr>
      <w:rFonts w:eastAsia="仿宋_GB2312"/>
      <w:sz w:val="32"/>
      <w:szCs w:val="20"/>
    </w:rPr>
  </w:style>
  <w:style w:type="paragraph" w:styleId="Style21">
    <w:name w:val="Style2"/>
    <w:basedOn w:val="Normal"/>
    <w:qFormat/>
    <w:pPr>
      <w:jc w:val="start"/>
    </w:pPr>
    <w:rPr>
      <w:rFonts w:ascii="Arial" w:hAnsi="Arial" w:cs="Arial"/>
      <w:kern w:val="0"/>
      <w:sz w:val="24"/>
    </w:rPr>
  </w:style>
  <w:style w:type="paragraph" w:styleId="NewNewNewNewNewNewNew">
    <w:name w:val="正文 New New New New New New New"/>
    <w:qFormat/>
    <w:pPr>
      <w:widowControl w:val="false"/>
      <w:bidi w:val="0"/>
      <w:jc w:val="both"/>
    </w:pPr>
    <w:rPr>
      <w:rFonts w:ascii="Calibri" w:hAnsi="Calibri" w:eastAsia="宋体" w:cs="Times New Roman"/>
      <w:color w:val="auto"/>
      <w:sz w:val="21"/>
      <w:szCs w:val="20"/>
      <w:lang w:bidi="ar-SA" w:val="en-US" w:eastAsia="zh-CN"/>
    </w:rPr>
  </w:style>
  <w:style w:type="paragraph" w:styleId="Style31">
    <w:name w:val="Style3"/>
    <w:basedOn w:val="Normal"/>
    <w:qFormat/>
    <w:pPr>
      <w:jc w:val="start"/>
    </w:pPr>
    <w:rPr>
      <w:rFonts w:ascii="Arial" w:hAnsi="Arial" w:cs="Arial"/>
      <w:kern w:val="0"/>
      <w:sz w:val="24"/>
    </w:rPr>
  </w:style>
  <w:style w:type="paragraph" w:styleId="NewNewNewNewNewNewNewNewNewNewNewNew">
    <w:name w:val="正文 New New New New New New New New New New New New"/>
    <w:qFormat/>
    <w:pPr>
      <w:widowControl w:val="false"/>
      <w:bidi w:val="0"/>
      <w:jc w:val="both"/>
    </w:pPr>
    <w:rPr>
      <w:rFonts w:ascii="Calibri" w:hAnsi="Calibri" w:eastAsia="宋体" w:cs="Times New Roman"/>
      <w:color w:val="auto"/>
      <w:sz w:val="21"/>
      <w:szCs w:val="20"/>
      <w:lang w:bidi="ar-SA" w:val="en-US" w:eastAsia="zh-CN"/>
    </w:rPr>
  </w:style>
  <w:style w:type="paragraph" w:styleId="Style51">
    <w:name w:val="Style5"/>
    <w:basedOn w:val="Normal"/>
    <w:qFormat/>
    <w:pPr>
      <w:jc w:val="start"/>
    </w:pPr>
    <w:rPr>
      <w:rFonts w:ascii="Arial" w:hAnsi="Arial" w:cs="Arial"/>
      <w:kern w:val="0"/>
      <w:sz w:val="24"/>
    </w:rPr>
  </w:style>
  <w:style w:type="paragraph" w:styleId="NewNewNewNewNewNewNewNew">
    <w:name w:val="正文 New New New New New New New New"/>
    <w:qFormat/>
    <w:pPr>
      <w:widowControl w:val="false"/>
      <w:bidi w:val="0"/>
      <w:jc w:val="both"/>
    </w:pPr>
    <w:rPr>
      <w:rFonts w:ascii="Calibri" w:hAnsi="Calibri" w:eastAsia="宋体" w:cs="Times New Roman"/>
      <w:color w:val="auto"/>
      <w:sz w:val="21"/>
      <w:szCs w:val="20"/>
      <w:lang w:bidi="ar-SA" w:val="en-US" w:eastAsia="zh-CN"/>
    </w:rPr>
  </w:style>
  <w:style w:type="paragraph" w:styleId="Style91">
    <w:name w:val="Style9"/>
    <w:basedOn w:val="Normal"/>
    <w:qFormat/>
    <w:pPr>
      <w:spacing w:lineRule="exact" w:line="624"/>
      <w:jc w:val="start"/>
    </w:pPr>
    <w:rPr>
      <w:rFonts w:ascii="Arial" w:hAnsi="Arial" w:cs="Arial"/>
      <w:kern w:val="0"/>
      <w:sz w:val="24"/>
    </w:rPr>
  </w:style>
  <w:style w:type="paragraph" w:styleId="Char3">
    <w:name w:val="Char"/>
    <w:basedOn w:val="Normal"/>
    <w:qFormat/>
    <w:pPr/>
    <w:rPr>
      <w:rFonts w:ascii="Tahoma" w:hAnsi="Tahoma" w:eastAsia="仿宋" w:cs="Tahoma"/>
      <w:sz w:val="24"/>
    </w:rPr>
  </w:style>
  <w:style w:type="paragraph" w:styleId="New">
    <w:name w:val="正文 New"/>
    <w:qFormat/>
    <w:pPr>
      <w:widowControl w:val="false"/>
      <w:bidi w:val="0"/>
      <w:jc w:val="both"/>
    </w:pPr>
    <w:rPr>
      <w:rFonts w:ascii="Calibri" w:hAnsi="Calibri" w:eastAsia="宋体" w:cs="Times New Roman"/>
      <w:color w:val="auto"/>
      <w:kern w:val="2"/>
      <w:sz w:val="21"/>
      <w:szCs w:val="20"/>
      <w:lang w:bidi="ar-SA" w:val="en-US" w:eastAsia="zh-CN"/>
    </w:rPr>
  </w:style>
  <w:style w:type="paragraph" w:styleId="Char4">
    <w:name w:val=" Char"/>
    <w:basedOn w:val="Normal"/>
    <w:qFormat/>
    <w:pPr/>
    <w:rPr>
      <w:rFonts w:ascii="Tahoma" w:hAnsi="Tahoma" w:eastAsia="仿宋" w:cs="Tahoma"/>
      <w:sz w:val="24"/>
    </w:rPr>
  </w:style>
  <w:style w:type="paragraph" w:styleId="Style81">
    <w:name w:val="Style8"/>
    <w:basedOn w:val="Normal"/>
    <w:qFormat/>
    <w:pPr>
      <w:jc w:val="start"/>
    </w:pPr>
    <w:rPr>
      <w:rFonts w:ascii="Arial" w:hAnsi="Arial" w:cs="Arial"/>
      <w:kern w:val="0"/>
      <w:sz w:val="24"/>
    </w:rPr>
  </w:style>
  <w:style w:type="paragraph" w:styleId="Style18">
    <w:name w:val="Style1"/>
    <w:basedOn w:val="Normal"/>
    <w:qFormat/>
    <w:pPr>
      <w:spacing w:lineRule="exact" w:line="648"/>
      <w:ind w:firstLine="1450" w:start="0" w:end="0"/>
      <w:jc w:val="start"/>
    </w:pPr>
    <w:rPr>
      <w:rFonts w:ascii="Arial" w:hAnsi="Arial" w:cs="Arial"/>
      <w:kern w:val="0"/>
      <w:sz w:val="24"/>
    </w:rPr>
  </w:style>
  <w:style w:type="paragraph" w:styleId="NewNewNewNewNewNewNewNewNewNew">
    <w:name w:val="正文 New New New New New New New New New New"/>
    <w:qFormat/>
    <w:pPr>
      <w:widowControl w:val="false"/>
      <w:bidi w:val="0"/>
      <w:jc w:val="both"/>
    </w:pPr>
    <w:rPr>
      <w:rFonts w:ascii="Calibri" w:hAnsi="Calibri" w:eastAsia="宋体" w:cs="Times New Roman"/>
      <w:color w:val="auto"/>
      <w:sz w:val="21"/>
      <w:szCs w:val="20"/>
      <w:lang w:bidi="ar-SA" w:val="en-US" w:eastAsia="zh-CN"/>
    </w:rPr>
  </w:style>
  <w:style w:type="paragraph" w:styleId="ListParagraph">
    <w:name w:val="List Paragraph"/>
    <w:basedOn w:val="Normal"/>
    <w:qFormat/>
    <w:pPr>
      <w:ind w:firstLineChars="200" w:startChars="0" w:start="0" w:endChars="0" w:end="0"/>
    </w:pPr>
    <w:rPr/>
  </w:style>
  <w:style w:type="paragraph" w:styleId="Style41">
    <w:name w:val="Style4"/>
    <w:basedOn w:val="Normal"/>
    <w:qFormat/>
    <w:pPr>
      <w:jc w:val="start"/>
    </w:pPr>
    <w:rPr>
      <w:rFonts w:ascii="Arial" w:hAnsi="Arial" w:cs="Arial"/>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2017-12-18T09:13:00Z</dcterms:created>
  <dc:creator>Administrator</dc:creator>
  <dc:description/>
  <dc:language>en-US</dc:language>
  <cp:lastModifiedBy>英宝珠</cp:lastModifiedBy>
  <cp:lastPrinted>2019-08-17T11:22:00Z</cp:lastPrinted>
  <dcterms:modified xsi:type="dcterms:W3CDTF">2019-08-19T15:22:13Z</dcterms:modified>
  <cp:revision>25</cp:revision>
  <dc:subject/>
  <dc:title>通人常发[2016]31号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