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jc w:val="center"/>
        <w:rPr>
          <w:rFonts w:cs="宋体;SimSun" w:hint="eastAsia"/>
          <w:sz w:val="32"/>
          <w:szCs w:val="32"/>
        </w:rPr>
      </w:pPr>
      <w:r>
        <w:rPr>
          <w:rFonts w:cs="宋体;SimSun" w:hint="eastAsia"/>
          <w:sz w:val="32"/>
          <w:szCs w:val="32"/>
        </w:rPr>
      </w:r>
    </w:p>
    <w:p>
      <w:pPr>
        <w:pStyle w:val="Style15"/>
        <w:jc w:val="center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eastAsia="仿宋_GB2312" w:cs="宋体;SimSun" w:hint="eastAsia" w:ascii="仿宋_GB2312" w:hAnsi="仿宋_GB2312"/>
          <w:sz w:val="32"/>
          <w:szCs w:val="32"/>
        </w:rPr>
      </w:r>
    </w:p>
    <w:p>
      <w:pPr>
        <w:pStyle w:val="Style15"/>
        <w:jc w:val="center"/>
        <w:rPr>
          <w:rFonts w:cs="宋体;SimSun" w:hint="eastAsia"/>
          <w:sz w:val="44"/>
          <w:szCs w:val="44"/>
        </w:rPr>
      </w:pPr>
      <w:r>
        <w:rPr>
          <w:rFonts w:cs="宋体;SimSun" w:hint="eastAsia"/>
          <w:sz w:val="44"/>
          <w:szCs w:val="44"/>
        </w:rPr>
        <w:t>吉林市清真食品管理条例</w:t>
      </w:r>
    </w:p>
    <w:p>
      <w:pPr>
        <w:pStyle w:val="Style15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eastAsia="仿宋_GB2312" w:cs="宋体;SimSun" w:hint="eastAsia" w:ascii="仿宋_GB2312" w:hAnsi="仿宋_GB2312"/>
          <w:sz w:val="32"/>
          <w:szCs w:val="32"/>
        </w:rPr>
      </w:r>
    </w:p>
    <w:p>
      <w:pPr>
        <w:pStyle w:val="Style15"/>
        <w:ind w:firstLineChars="0" w:firstLine="0" w:startChars="342" w:endChars="269"/>
        <w:rPr/>
      </w:pPr>
      <w:r>
        <w:rPr>
          <w:rFonts w:eastAsia="仿宋_GB2312" w:cs="宋体;SimSun" w:hint="eastAsia" w:ascii="仿宋_GB2312" w:hAnsi="仿宋_GB2312"/>
          <w:sz w:val="32"/>
          <w:szCs w:val="32"/>
        </w:rPr>
        <w:t xml:space="preserve">   </w:t>
      </w:r>
      <w:r>
        <w:rPr>
          <w:rFonts w:eastAsia="楷体_GB2312" w:cs="宋体;SimSun" w:hint="eastAsia" w:ascii="楷体_GB2312" w:hAnsi="楷体_GB2312"/>
          <w:sz w:val="32"/>
          <w:szCs w:val="32"/>
        </w:rPr>
        <w:t xml:space="preserve"> </w:t>
      </w:r>
      <w:r>
        <w:rPr>
          <w:rFonts w:eastAsia="楷体_GB2312" w:cs="宋体;SimSun" w:hint="eastAsia" w:ascii="楷体_GB2312" w:hAnsi="楷体_GB2312"/>
          <w:sz w:val="32"/>
          <w:szCs w:val="32"/>
        </w:rPr>
        <w:t>(2002</w:t>
      </w:r>
      <w:r>
        <w:rPr>
          <w:rFonts w:ascii="楷体_GB2312" w:hAnsi="楷体_GB2312" w:cs="宋体;SimSun" w:hint="eastAsia" w:eastAsia="楷体_GB2312"/>
          <w:sz w:val="32"/>
          <w:szCs w:val="32"/>
        </w:rPr>
        <w:t>年</w:t>
      </w:r>
      <w:r>
        <w:rPr>
          <w:rFonts w:eastAsia="楷体_GB2312" w:cs="宋体;SimSun" w:hint="eastAsia" w:ascii="楷体_GB2312" w:hAnsi="楷体_GB2312"/>
          <w:sz w:val="32"/>
          <w:szCs w:val="32"/>
        </w:rPr>
        <w:t>3</w:t>
      </w:r>
      <w:r>
        <w:rPr>
          <w:rFonts w:ascii="楷体_GB2312" w:hAnsi="楷体_GB2312" w:cs="宋体;SimSun" w:hint="eastAsia" w:eastAsia="楷体_GB2312"/>
          <w:sz w:val="32"/>
          <w:szCs w:val="32"/>
        </w:rPr>
        <w:t>月</w:t>
      </w:r>
      <w:r>
        <w:rPr>
          <w:rFonts w:eastAsia="楷体_GB2312" w:cs="宋体;SimSun" w:hint="eastAsia" w:ascii="楷体_GB2312" w:hAnsi="楷体_GB2312"/>
          <w:sz w:val="32"/>
          <w:szCs w:val="32"/>
        </w:rPr>
        <w:t>29</w:t>
      </w:r>
      <w:r>
        <w:rPr>
          <w:rFonts w:ascii="楷体_GB2312" w:hAnsi="楷体_GB2312" w:cs="宋体;SimSun" w:hint="eastAsia" w:eastAsia="楷体_GB2312"/>
          <w:sz w:val="32"/>
          <w:szCs w:val="32"/>
        </w:rPr>
        <w:t xml:space="preserve">日吉林市第十二届人民代表大会常务委员会第三十二次会议通过 </w:t>
      </w:r>
      <w:r>
        <w:rPr>
          <w:rFonts w:eastAsia="楷体_GB2312" w:cs="宋体;SimSun" w:hint="eastAsia" w:ascii="楷体_GB2312" w:hAnsi="楷体_GB2312"/>
          <w:sz w:val="32"/>
          <w:szCs w:val="32"/>
        </w:rPr>
        <w:t>2002</w:t>
      </w:r>
      <w:r>
        <w:rPr>
          <w:rFonts w:ascii="楷体_GB2312" w:hAnsi="楷体_GB2312" w:cs="宋体;SimSun" w:hint="eastAsia" w:eastAsia="楷体_GB2312"/>
          <w:sz w:val="32"/>
          <w:szCs w:val="32"/>
        </w:rPr>
        <w:t>年</w:t>
      </w:r>
      <w:r>
        <w:rPr>
          <w:rFonts w:eastAsia="楷体_GB2312" w:cs="宋体;SimSun" w:hint="eastAsia" w:ascii="楷体_GB2312" w:hAnsi="楷体_GB2312"/>
          <w:sz w:val="32"/>
          <w:szCs w:val="32"/>
        </w:rPr>
        <w:t>5</w:t>
      </w:r>
      <w:r>
        <w:rPr>
          <w:rFonts w:ascii="楷体_GB2312" w:hAnsi="楷体_GB2312" w:cs="宋体;SimSun" w:hint="eastAsia" w:eastAsia="楷体_GB2312"/>
          <w:sz w:val="32"/>
          <w:szCs w:val="32"/>
        </w:rPr>
        <w:t>月</w:t>
      </w:r>
      <w:r>
        <w:rPr>
          <w:rFonts w:eastAsia="楷体_GB2312" w:cs="宋体;SimSun" w:hint="eastAsia" w:ascii="楷体_GB2312" w:hAnsi="楷体_GB2312"/>
          <w:sz w:val="32"/>
          <w:szCs w:val="32"/>
        </w:rPr>
        <w:t>31</w:t>
      </w:r>
      <w:r>
        <w:rPr>
          <w:rFonts w:ascii="楷体_GB2312" w:hAnsi="楷体_GB2312" w:cs="宋体;SimSun" w:hint="eastAsia" w:eastAsia="楷体_GB2312"/>
          <w:sz w:val="32"/>
          <w:szCs w:val="32"/>
        </w:rPr>
        <w:t>日吉林省第九届人民代表大会常务委员会第三十次会议批准</w:t>
      </w:r>
      <w:r>
        <w:rPr>
          <w:rFonts w:eastAsia="楷体_GB2312" w:cs="宋体;SimSun" w:hint="eastAsia" w:ascii="楷体_GB2312" w:hAnsi="楷体_GB2312"/>
          <w:sz w:val="32"/>
          <w:szCs w:val="32"/>
        </w:rPr>
        <w:t>)</w:t>
      </w:r>
    </w:p>
    <w:p>
      <w:pPr>
        <w:pStyle w:val="Style15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eastAsia="仿宋_GB2312" w:cs="宋体;SimSun" w:hint="eastAsia" w:ascii="仿宋_GB2312" w:hAnsi="仿宋_GB2312"/>
          <w:sz w:val="32"/>
          <w:szCs w:val="32"/>
        </w:rPr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第一条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为尊重少数民族风俗习惯，加强对清真食品生产、经营的管理，根据宪法和有关法律、法规，结合本市实际，制定本条例。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第二条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本条例所称的清真食品，是指按照清真饮食习惯生产、 经营的食品。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第三条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凡在本市行政区域内从事生产、经营 清真食品的单位和个人必须遵守本条例。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第四条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市和各县（市）、区人民政府民族事务主管部门负责清真食品生产、经营的监督管理工作。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各级工商、商业、卫生、农牧、物价和公安等行政管理部门，应依照各自的职责，做好清真食品有关方面的监督管理工作。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第五条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市和各县（市）、区人民政府应当支持有清真饮食习惯的少数民族 开办饭店、食品店、肉类供应网点和食品加工等企业。   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第六条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生产、经营清真食品的，应具备下列条件：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（一）从事生产、经营清真食品的经营者应是具有清真饮食习惯的少数民族人员。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（二 ）在从业人员中有清真饮食习惯的少数民族成员不得少于</w:t>
      </w:r>
      <w:r>
        <w:rPr>
          <w:rFonts w:eastAsia="仿宋_GB2312" w:cs="宋体;SimSun" w:hint="eastAsia" w:ascii="仿宋_GB2312" w:hAnsi="仿宋_GB2312"/>
          <w:sz w:val="32"/>
          <w:szCs w:val="32"/>
        </w:rPr>
        <w:t>20</w:t>
      </w:r>
      <w:r>
        <w:rPr>
          <w:rFonts w:ascii="仿宋_GB2312" w:hAnsi="仿宋_GB2312" w:cs="宋体;SimSun" w:hint="eastAsia" w:eastAsia="仿宋_GB2312"/>
          <w:sz w:val="32"/>
          <w:szCs w:val="32"/>
        </w:rPr>
        <w:t>％。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（三）清真饭店的 厨师、采购员、保管员均应是具有清真饮食习惯的少数民族人员。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（四）清真牛羊屠宰应有专业屠宰人和专用清真屠宰场所。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（五）生产、经营清真食品的专用加工工具、计量器具、运输车辆、库房、操作间等，应符合生产清真食品的要求，必须保证专用。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第七条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申请开办清真饮食服务企业和食品生产、经营企业， 应到当地民族事务主管部门核准资格，领取民族事务主管部门统一核发的清真标识，并到工商、税务等行政管理部门办理有关证照后，方可营业。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第八条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已经开办的清真饮食服务企业和食品生产、经营企业，在出租、出兑、出售或者发生其他形式转让 时，未改变清真性质的应重新核准资格，改变清真性质的必须交回清真标识。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禁止出租、伪造、买卖、借用清真标识，经营非清真食品的不得使用清真标识。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第九条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从事清真食品生产、经营的单位和个人须遵守下列规定：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（一）应将清真标识悬挂在生产经营场所易于查看的位置。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（二）经营清真肉食和餐饮的业户，必须采购清真生产场所生产的畜禽肉类及制品。从外地购进的清真畜禽肉类及制品，须有当地县级以上民族 事务主管部门出具的清真证明和动物防疫监督机构出具的检疫证明。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（三） 凡销售的清真食 品，应严格按照清真饮食习惯生产、制作，清真食品的外包装必须标有“清真”字样。</w:t>
      </w:r>
    </w:p>
    <w:p>
      <w:pPr>
        <w:pStyle w:val="Style15"/>
        <w:ind w:firstLineChars="200" w:startChars="0" w:start="0" w:endChars="0" w:end="0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ascii="仿宋_GB2312" w:hAnsi="仿宋_GB2312" w:cs="宋体;SimSun" w:hint="eastAsia" w:eastAsia="仿宋_GB2312"/>
          <w:sz w:val="32"/>
          <w:szCs w:val="32"/>
        </w:rPr>
        <w:t>（四）清真食品专营市场、柜台、摊点等不得经销非清真食品。集贸市场清真食品与食用清真食品的民族忌食食品摊位应分开设置，双方的生产经营人员不得混岗。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第十条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违反本条例第八条第一款规定的，由当地民族事务主管部门会同工商等有关部门责令其改正；拒不改正的收回清真标识，并处</w:t>
      </w:r>
      <w:r>
        <w:rPr>
          <w:rFonts w:eastAsia="仿宋_GB2312" w:cs="宋体;SimSun" w:hint="eastAsia" w:ascii="仿宋_GB2312" w:hAnsi="仿宋_GB2312"/>
          <w:sz w:val="32"/>
          <w:szCs w:val="32"/>
        </w:rPr>
        <w:t>1000</w:t>
      </w:r>
      <w:r>
        <w:rPr>
          <w:rFonts w:ascii="仿宋_GB2312" w:hAnsi="仿宋_GB2312" w:cs="宋体;SimSun" w:hint="eastAsia" w:eastAsia="仿宋_GB2312"/>
          <w:sz w:val="32"/>
          <w:szCs w:val="32"/>
        </w:rPr>
        <w:t>元以上</w:t>
      </w:r>
      <w:r>
        <w:rPr>
          <w:rFonts w:eastAsia="仿宋_GB2312" w:cs="宋体;SimSun" w:hint="eastAsia" w:ascii="仿宋_GB2312" w:hAnsi="仿宋_GB2312"/>
          <w:sz w:val="32"/>
          <w:szCs w:val="32"/>
        </w:rPr>
        <w:t xml:space="preserve">5000  </w:t>
      </w:r>
      <w:r>
        <w:rPr>
          <w:rFonts w:ascii="仿宋_GB2312" w:hAnsi="仿宋_GB2312" w:cs="宋体;SimSun" w:hint="eastAsia" w:eastAsia="仿宋_GB2312"/>
          <w:sz w:val="32"/>
          <w:szCs w:val="32"/>
        </w:rPr>
        <w:t>元以下罚款。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第十一条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违反本条例第八条第二款规定的，由当地民族事务主管部门会同工商等有关部门收缴其清真标识，并处</w:t>
      </w:r>
      <w:r>
        <w:rPr>
          <w:rFonts w:eastAsia="仿宋_GB2312" w:cs="宋体;SimSun" w:hint="eastAsia" w:ascii="仿宋_GB2312" w:hAnsi="仿宋_GB2312"/>
          <w:sz w:val="32"/>
          <w:szCs w:val="32"/>
        </w:rPr>
        <w:t>500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元以上 </w:t>
      </w:r>
      <w:r>
        <w:rPr>
          <w:rFonts w:eastAsia="仿宋_GB2312" w:cs="宋体;SimSun" w:hint="eastAsia" w:ascii="仿宋_GB2312" w:hAnsi="仿宋_GB2312"/>
          <w:sz w:val="32"/>
          <w:szCs w:val="32"/>
        </w:rPr>
        <w:t>2000</w:t>
      </w:r>
      <w:r>
        <w:rPr>
          <w:rFonts w:ascii="仿宋_GB2312" w:hAnsi="仿宋_GB2312" w:cs="宋体;SimSun" w:hint="eastAsia" w:eastAsia="仿宋_GB2312"/>
          <w:sz w:val="32"/>
          <w:szCs w:val="32"/>
        </w:rPr>
        <w:t>元以下罚款。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第十二条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违反本条例第九条第（二）项、第（三）项规定的，由当地民族事务主管部门会同工商等有关部门责令其改正；拒不改正的，收缴其清真标识， 并可由工商行政管理部门 处以</w:t>
      </w:r>
      <w:r>
        <w:rPr>
          <w:rFonts w:eastAsia="仿宋_GB2312" w:cs="宋体;SimSun" w:hint="eastAsia" w:ascii="仿宋_GB2312" w:hAnsi="仿宋_GB2312"/>
          <w:sz w:val="32"/>
          <w:szCs w:val="32"/>
        </w:rPr>
        <w:t>200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元以上 </w:t>
      </w:r>
      <w:r>
        <w:rPr>
          <w:rFonts w:eastAsia="仿宋_GB2312" w:cs="宋体;SimSun" w:hint="eastAsia" w:ascii="仿宋_GB2312" w:hAnsi="仿宋_GB2312"/>
          <w:sz w:val="32"/>
          <w:szCs w:val="32"/>
        </w:rPr>
        <w:t>2000</w:t>
      </w:r>
      <w:r>
        <w:rPr>
          <w:rFonts w:ascii="仿宋_GB2312" w:hAnsi="仿宋_GB2312" w:cs="宋体;SimSun" w:hint="eastAsia" w:eastAsia="仿宋_GB2312"/>
          <w:sz w:val="32"/>
          <w:szCs w:val="32"/>
        </w:rPr>
        <w:t>元以下罚款。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第十三条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违反本条例其他规定的，由当地民族事务主管部门责令停止违法行为。对直接责任人，由所在单位或者上级主管部门给予行政处分；违反治安管理处罚条例的，由公安机关处理；构成犯罪的，依法追究刑事责任。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第十四条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对国家机关工作人员在执行本条例时玩忽职守、滥用职权、徇私舞弊的，由其所在单位给予行政处分；构成犯罪的，依法追究刑事责任。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>第十五条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 本条例由吉林市人民代表大会常务委员会负责解释。</w:t>
      </w:r>
    </w:p>
    <w:p>
      <w:pPr>
        <w:pStyle w:val="Style15"/>
        <w:ind w:firstLineChars="200" w:startChars="0" w:start="0" w:endChars="0" w:end="0"/>
        <w:rPr/>
      </w:pPr>
      <w:r>
        <w:rPr>
          <w:rFonts w:ascii="黑体;SimHei" w:hAnsi="黑体;SimHei" w:cs="宋体;SimSun" w:hint="eastAsia" w:eastAsia="黑体;SimHei"/>
          <w:sz w:val="32"/>
          <w:szCs w:val="32"/>
        </w:rPr>
        <w:t xml:space="preserve">第十六条 </w:t>
      </w:r>
      <w:r>
        <w:rPr>
          <w:rFonts w:ascii="仿宋_GB2312" w:hAnsi="仿宋_GB2312" w:cs="宋体;SimSun" w:hint="eastAsia" w:eastAsia="仿宋_GB2312"/>
          <w:sz w:val="32"/>
          <w:szCs w:val="32"/>
        </w:rPr>
        <w:t xml:space="preserve"> 本条例自 二</w:t>
      </w:r>
      <w:r>
        <w:rPr>
          <w:rFonts w:eastAsia="仿宋_GB2312" w:cs="宋体;SimSun" w:hint="eastAsia" w:ascii="仿宋_GB2312" w:hAnsi="仿宋_GB2312"/>
          <w:sz w:val="32"/>
          <w:szCs w:val="32"/>
        </w:rPr>
        <w:t>OO</w:t>
      </w:r>
      <w:r>
        <w:rPr>
          <w:rFonts w:ascii="仿宋_GB2312" w:hAnsi="仿宋_GB2312" w:cs="宋体;SimSun" w:hint="eastAsia" w:eastAsia="仿宋_GB2312"/>
          <w:sz w:val="32"/>
          <w:szCs w:val="32"/>
        </w:rPr>
        <w:t>二年七月一日起施行。</w:t>
      </w:r>
    </w:p>
    <w:p>
      <w:pPr>
        <w:pStyle w:val="Style15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eastAsia="仿宋_GB2312" w:cs="宋体;SimSun" w:hint="eastAsia" w:ascii="仿宋_GB2312" w:hAnsi="仿宋_GB2312"/>
          <w:sz w:val="32"/>
          <w:szCs w:val="32"/>
        </w:rPr>
      </w:r>
    </w:p>
    <w:p>
      <w:pPr>
        <w:pStyle w:val="Style15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eastAsia="仿宋_GB2312" w:cs="宋体;SimSun" w:hint="eastAsia" w:ascii="仿宋_GB2312" w:hAnsi="仿宋_GB2312"/>
          <w:sz w:val="32"/>
          <w:szCs w:val="32"/>
        </w:rPr>
      </w:r>
    </w:p>
    <w:p>
      <w:pPr>
        <w:pStyle w:val="Style15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eastAsia="仿宋_GB2312" w:cs="宋体;SimSun" w:hint="eastAsia" w:ascii="仿宋_GB2312" w:hAnsi="仿宋_GB2312"/>
          <w:sz w:val="32"/>
          <w:szCs w:val="32"/>
        </w:rPr>
      </w:r>
    </w:p>
    <w:p>
      <w:pPr>
        <w:pStyle w:val="Normal"/>
        <w:rPr>
          <w:rFonts w:ascii="仿宋_GB2312" w:hAnsi="仿宋_GB2312" w:eastAsia="仿宋_GB2312" w:cs="宋体;SimSun" w:hint="eastAsia"/>
          <w:sz w:val="32"/>
          <w:szCs w:val="32"/>
        </w:rPr>
      </w:pPr>
      <w:r>
        <w:rPr>
          <w:rFonts w:eastAsia="仿宋_GB2312" w:cs="宋体;SimSun" w:hint="eastAsia" w:ascii="仿宋_GB2312" w:hAnsi="仿宋_GB2312"/>
          <w:sz w:val="32"/>
          <w:szCs w:val="32"/>
        </w:rPr>
      </w:r>
    </w:p>
    <w:sectPr>
      <w:footerReference w:type="default" r:id="rId2"/>
      <w:type w:val="nextPage"/>
      <w:pgSz w:w="11906" w:h="16838"/>
      <w:pgMar w:left="1531" w:right="1531" w:gutter="0" w:header="0" w:top="2098" w:footer="992" w:bottom="2098"/>
      <w:pgNumType w:start="1"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  <w:font w:name="仿宋_GB2312">
    <w:charset w:val="86"/>
    <w:family w:val="modern"/>
    <w:pitch w:val="default"/>
  </w:font>
  <w:font w:name="楷体_GB2312">
    <w:charset w:val="86"/>
    <w:family w:val="modern"/>
    <w:pitch w:val="default"/>
  </w:font>
  <w:font w:name="黑体">
    <w:altName w:val="SimHei"/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5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99060" cy="302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9060" cy="302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  <w:rFonts w:ascii="宋体;SimSun" w:hAnsi="宋体;SimSun" w:cs="宋体;SimSun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rStyle w:val="PageNumber"/>
                              <w:rFonts w:cs="宋体;SimSun" w:ascii="宋体;SimSun" w:hAnsi="宋体;SimSu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7.8pt;height:23.8pt;mso-wrap-distance-left:0pt;mso-wrap-distance-right:0pt;mso-wrap-distance-top:0pt;mso-wrap-distance-bottom:0pt;margin-top:0.05pt;mso-position-vertical-relative:text;margin-left:434.4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  <w:rFonts w:ascii="宋体;SimSun" w:hAnsi="宋体;SimSun" w:cs="宋体;SimSun"/>
                        <w:sz w:val="28"/>
                        <w:szCs w:val="28"/>
                      </w:rPr>
                    </w:pP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instrText xml:space="preserve"> PAGE </w:instrText>
                    </w: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t>4</w:t>
                    </w:r>
                    <w:r>
                      <w:rPr>
                        <w:rStyle w:val="PageNumber"/>
                        <w:rFonts w:cs="宋体;SimSun" w:ascii="宋体;SimSun" w:hAnsi="宋体;SimSu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5">
    <w:name w:val="纯文本"/>
    <w:basedOn w:val="Normal"/>
    <w:qFormat/>
    <w:pPr/>
    <w:rPr>
      <w:rFonts w:ascii="宋体;SimSun" w:hAnsi="宋体;SimSun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2017-04-13T11:08:00Z</dcterms:created>
  <dc:creator>admin</dc:creator>
  <dc:description/>
  <cp:keywords/>
  <dc:language>en-US</dc:language>
  <cp:lastModifiedBy>Pengfei</cp:lastModifiedBy>
  <dcterms:modified xsi:type="dcterms:W3CDTF">2017-04-18T09:02:00Z</dcterms:modified>
  <cp:revision>3</cp:revision>
  <dc:subject/>
  <dc:title>吉林市清真食品管理条例</dc:title>
</cp:coreProperties>
</file>