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514" w:tblpY="47"/>
        <w:tblOverlap w:val="never"/>
        <w:tblW w:w="8940" w:type="dxa"/>
        <w:jc w:val="start"/>
        <w:tblInd w:w="15" w:type="dxa"/>
        <w:tblLayout w:type="fixed"/>
        <w:tblCellMar>
          <w:top w:w="15" w:type="dxa"/>
          <w:start w:w="15" w:type="dxa"/>
          <w:bottom w:w="15" w:type="dxa"/>
          <w:end w:w="15" w:type="dxa"/>
        </w:tblCellMar>
      </w:tblPr>
      <w:tblGrid>
        <w:gridCol w:w="8940"/>
      </w:tblGrid>
      <w:tr>
        <w:trPr>
          <w:trHeight w:val="375" w:hRule="atLeast"/>
        </w:trPr>
        <w:tc>
          <w:tcPr>
            <w:tcW w:w="8940" w:type="dxa"/>
            <w:tcBorders/>
            <w:vAlign w:val="center"/>
          </w:tcPr>
          <w:p>
            <w:pPr>
              <w:pStyle w:val="Normal"/>
              <w:snapToGrid w:val="fals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00" w:before="0" w:after="0"/>
              <w:jc w:val="center"/>
              <w:rPr>
                <w:rFonts w:ascii="仿宋" w:hAnsi="仿宋" w:cs="仿宋" w:hint="eastAsia"/>
              </w:rPr>
            </w:pPr>
            <w:r>
              <w:rPr>
                <w:rFonts w:ascii="宋体;SimSun" w:hAnsi="宋体;SimSun" w:cs="宋体;SimSun" w:hint="eastAsia" w:eastAsia="宋体;SimSun"/>
                <w:sz w:val="44"/>
                <w:szCs w:val="44"/>
              </w:rPr>
              <w:t>吉林省人民代表大会常务委员会关于政府制定规章设定罚款的限额的规定</w:t>
            </w:r>
          </w:p>
        </w:tc>
      </w:tr>
      <w:tr>
        <w:trPr>
          <w:trHeight w:val="375" w:hRule="atLeast"/>
        </w:trPr>
        <w:tc>
          <w:tcPr>
            <w:tcW w:w="8940"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cs="仿宋" w:hint="eastAsia" w:ascii="仿宋" w:hAnsi="仿宋"/>
              </w:rPr>
            </w:r>
          </w:p>
          <w:p>
            <w:pPr>
              <w:pStyle w:val="Normal"/>
              <w:snapToGrid w:val="false"/>
              <w:spacing w:lineRule="auto" w:line="300" w:before="0" w:after="0"/>
              <w:ind w:firstLineChars="0" w:firstLine="0" w:startChars="200" w:endChars="205"/>
              <w:jc w:val="both"/>
              <w:rPr>
                <w:rFonts w:ascii="仿宋" w:hAnsi="仿宋" w:cs="仿宋" w:hint="eastAsia"/>
              </w:rPr>
            </w:pPr>
            <w:r>
              <w:rPr>
                <w:rFonts w:ascii="楷体" w:hAnsi="楷体" w:cs="楷体" w:hint="eastAsia" w:eastAsia="楷体"/>
              </w:rPr>
              <w:t>（</w:t>
            </w:r>
            <w:r>
              <w:rPr>
                <w:rFonts w:eastAsia="楷体" w:cs="楷体" w:hint="eastAsia" w:ascii="楷体" w:hAnsi="楷体"/>
              </w:rPr>
              <w:t>1996</w:t>
            </w:r>
            <w:r>
              <w:rPr>
                <w:rFonts w:ascii="楷体" w:hAnsi="楷体" w:cs="楷体" w:hint="eastAsia" w:eastAsia="楷体"/>
              </w:rPr>
              <w:t>年</w:t>
            </w:r>
            <w:r>
              <w:rPr>
                <w:rFonts w:eastAsia="楷体" w:cs="楷体" w:hint="eastAsia" w:ascii="楷体" w:hAnsi="楷体"/>
              </w:rPr>
              <w:t>9</w:t>
            </w:r>
            <w:r>
              <w:rPr>
                <w:rFonts w:ascii="楷体" w:hAnsi="楷体" w:cs="楷体" w:hint="eastAsia" w:eastAsia="楷体"/>
              </w:rPr>
              <w:t>月</w:t>
            </w:r>
            <w:r>
              <w:rPr>
                <w:rFonts w:eastAsia="楷体" w:cs="楷体" w:hint="eastAsia" w:ascii="楷体" w:hAnsi="楷体"/>
              </w:rPr>
              <w:t>26</w:t>
            </w:r>
            <w:r>
              <w:rPr>
                <w:rFonts w:ascii="楷体" w:hAnsi="楷体" w:cs="楷体" w:hint="eastAsia" w:eastAsia="楷体"/>
              </w:rPr>
              <w:t>日吉林省第八届人民代表大会常务委员会第二十六次会议通过 根据</w:t>
            </w:r>
            <w:r>
              <w:rPr>
                <w:rFonts w:eastAsia="楷体" w:cs="楷体" w:hint="eastAsia" w:ascii="楷体" w:hAnsi="楷体"/>
              </w:rPr>
              <w:t>2017</w:t>
            </w:r>
            <w:r>
              <w:rPr>
                <w:rFonts w:ascii="楷体" w:hAnsi="楷体" w:cs="楷体" w:hint="eastAsia" w:eastAsia="楷体"/>
              </w:rPr>
              <w:t>年</w:t>
            </w:r>
            <w:r>
              <w:rPr>
                <w:rFonts w:eastAsia="楷体" w:cs="楷体" w:hint="eastAsia" w:ascii="楷体" w:hAnsi="楷体"/>
              </w:rPr>
              <w:t>3</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日吉林省第十二届人民代表大会常务委员会第三十三次会议《吉林省人民代表大会常务委员会关于修改和废止</w:t>
            </w:r>
            <w:r>
              <w:rPr>
                <w:rFonts w:eastAsia="楷体" w:cs="楷体" w:hint="eastAsia" w:ascii="楷体" w:hAnsi="楷体"/>
              </w:rPr>
              <w:t>&lt;</w:t>
            </w:r>
            <w:r>
              <w:rPr>
                <w:rFonts w:ascii="楷体" w:hAnsi="楷体" w:cs="楷体" w:hint="eastAsia" w:eastAsia="楷体"/>
              </w:rPr>
              <w:t>吉林省农业机械管理条例</w:t>
            </w:r>
            <w:r>
              <w:rPr>
                <w:rFonts w:eastAsia="楷体" w:cs="楷体" w:hint="eastAsia" w:ascii="楷体" w:hAnsi="楷体"/>
              </w:rPr>
              <w:t>&gt;</w:t>
            </w:r>
            <w:r>
              <w:rPr>
                <w:rFonts w:ascii="楷体" w:hAnsi="楷体" w:cs="楷体" w:hint="eastAsia" w:eastAsia="楷体"/>
              </w:rPr>
              <w:t>等</w:t>
            </w:r>
            <w:r>
              <w:rPr>
                <w:rFonts w:eastAsia="楷体" w:cs="楷体" w:hint="eastAsia" w:ascii="楷体" w:hAnsi="楷体"/>
              </w:rPr>
              <w:t>21</w:t>
            </w:r>
            <w:r>
              <w:rPr>
                <w:rFonts w:ascii="楷体" w:hAnsi="楷体" w:cs="楷体" w:hint="eastAsia" w:eastAsia="楷体"/>
              </w:rPr>
              <w:t>件地方性法规的决定》修改）</w:t>
            </w:r>
          </w:p>
        </w:tc>
      </w:tr>
      <w:tr>
        <w:trPr>
          <w:trHeight w:val="375" w:hRule="atLeast"/>
        </w:trPr>
        <w:tc>
          <w:tcPr>
            <w:tcW w:w="8940"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eastAsia="仿宋_GB2312" w:cs="仿宋" w:hint="eastAsia" w:ascii="仿宋_GB2312" w:hAnsi="仿宋_GB2312"/>
              </w:rPr>
            </w:r>
          </w:p>
          <w:p>
            <w:pPr>
              <w:pStyle w:val="Normal"/>
              <w:snapToGrid w:val="false"/>
              <w:spacing w:lineRule="auto" w:line="300" w:before="0" w:after="0"/>
              <w:ind w:firstLineChars="200" w:startChars="0" w:start="0" w:endChars="0" w:end="0"/>
              <w:jc w:val="both"/>
              <w:rPr/>
            </w:pPr>
            <w:r>
              <w:rPr>
                <w:rFonts w:ascii="仿宋_GB2312" w:hAnsi="仿宋_GB2312" w:cs="仿宋" w:hint="eastAsia" w:eastAsia="仿宋_GB2312"/>
              </w:rPr>
              <w:t>根据《</w:t>
            </w:r>
            <w:hyperlink r:id="rId2">
              <w:r>
                <w:rPr>
                  <w:rStyle w:val="Hyperlink"/>
                  <w:rFonts w:ascii="仿宋_GB2312" w:hAnsi="仿宋_GB2312" w:cs="仿宋" w:hint="eastAsia" w:eastAsia="仿宋_GB2312"/>
                </w:rPr>
                <w:t>中华人民共和国行政处罚法</w:t>
              </w:r>
            </w:hyperlink>
            <w:r>
              <w:rPr>
                <w:rFonts w:ascii="仿宋_GB2312" w:hAnsi="仿宋_GB2312" w:cs="仿宋" w:hint="eastAsia" w:eastAsia="仿宋_GB2312"/>
              </w:rPr>
              <w:t>》</w:t>
            </w:r>
            <w:hyperlink r:id="rId3">
              <w:r>
                <w:rPr>
                  <w:rStyle w:val="Hyperlink"/>
                  <w:rFonts w:ascii="仿宋_GB2312" w:hAnsi="仿宋_GB2312" w:cs="仿宋" w:hint="eastAsia" w:eastAsia="仿宋_GB2312"/>
                </w:rPr>
                <w:t>第十三条</w:t>
              </w:r>
            </w:hyperlink>
            <w:r>
              <w:rPr>
                <w:rFonts w:ascii="仿宋_GB2312" w:hAnsi="仿宋_GB2312" w:cs="仿宋" w:hint="eastAsia" w:eastAsia="仿宋_GB2312"/>
              </w:rPr>
              <w:t>规定，省人民政府、省人民政府所在地的市人民政府以及经国务院批准的较大的市人民政府，在尚未制定法律、行政法规或者地方性法规的情况下制定政府规章时，对违反行政管理秩序的行为，可以设定警告或者一定数量罚款的行政处罚。罚款的限额由省人民代表大会常务委员会规定。据此，省人民代表大会常务委员会对政府制定规章设定罚款的限额作如下规定：</w:t>
            </w:r>
          </w:p>
        </w:tc>
      </w:tr>
      <w:tr>
        <w:trPr>
          <w:trHeight w:val="375" w:hRule="atLeast"/>
        </w:trPr>
        <w:tc>
          <w:tcPr>
            <w:tcW w:w="8940"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省人民政府、设区的市人民政府制定规章对违反行政管理秩序的行为设定罚款的限额为五万元。但对涉及公共安全、人身财产安全、生态环境保护、有限自然资源开发利用方面违反行政管理秩序的行为，可以设定不超过十万元的罚款。</w:t>
            </w:r>
          </w:p>
        </w:tc>
      </w:tr>
      <w:tr>
        <w:trPr>
          <w:trHeight w:val="375" w:hRule="atLeast"/>
        </w:trPr>
        <w:tc>
          <w:tcPr>
            <w:tcW w:w="8940" w:type="dxa"/>
            <w:tcBorders/>
            <w:vAlign w:val="center"/>
          </w:tcPr>
          <w:p>
            <w:pPr>
              <w:pStyle w:val="Normal"/>
              <w:snapToGrid w:val="false"/>
              <w:spacing w:lineRule="auto" w:line="300" w:before="0" w:after="0"/>
              <w:jc w:val="both"/>
              <w:rPr>
                <w:rFonts w:ascii="仿宋_GB2312" w:hAnsi="仿宋_GB2312" w:eastAsia="仿宋_GB2312" w:cs="仿宋" w:hint="eastAsia"/>
              </w:rPr>
            </w:pPr>
            <w:r>
              <w:rPr>
                <w:rFonts w:eastAsia="仿宋_GB2312" w:cs="仿宋" w:hint="eastAsia" w:ascii="仿宋_GB2312" w:hAnsi="仿宋_GB2312"/>
              </w:rPr>
              <w:t xml:space="preserve">    </w:t>
            </w:r>
            <w:r>
              <w:rPr>
                <w:rFonts w:ascii="仿宋_GB2312" w:hAnsi="仿宋_GB2312" w:cs="仿宋" w:hint="eastAsia" w:eastAsia="仿宋_GB2312"/>
              </w:rPr>
              <w:t>二、政府制定规章时，应当在上述限额内，根据处罚相当的原则，对违反行政管理秩序的行为，设定不同幅度的罚款。</w:t>
            </w:r>
          </w:p>
        </w:tc>
      </w:tr>
      <w:tr>
        <w:trPr>
          <w:trHeight w:val="375" w:hRule="atLeast"/>
        </w:trPr>
        <w:tc>
          <w:tcPr>
            <w:tcW w:w="8940"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本规定自</w:t>
            </w:r>
            <w:r>
              <w:rPr>
                <w:rFonts w:eastAsia="仿宋_GB2312" w:cs="仿宋" w:hint="eastAsia" w:ascii="仿宋_GB2312" w:hAnsi="仿宋_GB2312"/>
              </w:rPr>
              <w:t>1996</w:t>
            </w:r>
            <w:r>
              <w:rPr>
                <w:rFonts w:ascii="仿宋_GB2312" w:hAnsi="仿宋_GB2312" w:cs="仿宋" w:hint="eastAsia" w:eastAsia="仿宋_GB2312"/>
              </w:rPr>
              <w:t>年</w:t>
            </w:r>
            <w:r>
              <w:rPr>
                <w:rFonts w:eastAsia="仿宋_GB2312" w:cs="仿宋" w:hint="eastAsia" w:ascii="仿宋_GB2312" w:hAnsi="仿宋_GB2312"/>
              </w:rPr>
              <w:t>10</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日起施行。本规定公布前制定的政府规章中关于罚款的设定与本规定不符的，应当自本规定公布之日起，依照本规定予以修订，在</w:t>
            </w:r>
            <w:r>
              <w:rPr>
                <w:rFonts w:eastAsia="仿宋_GB2312" w:cs="仿宋" w:hint="eastAsia" w:ascii="仿宋_GB2312" w:hAnsi="仿宋_GB2312"/>
              </w:rPr>
              <w:t>1997</w:t>
            </w:r>
            <w:r>
              <w:rPr>
                <w:rFonts w:ascii="仿宋_GB2312" w:hAnsi="仿宋_GB2312" w:cs="仿宋" w:hint="eastAsia" w:eastAsia="仿宋_GB2312"/>
              </w:rPr>
              <w:t>年</w:t>
            </w:r>
            <w:r>
              <w:rPr>
                <w:rFonts w:eastAsia="仿宋_GB2312" w:cs="仿宋" w:hint="eastAsia" w:ascii="仿宋_GB2312" w:hAnsi="仿宋_GB2312"/>
              </w:rPr>
              <w:t>12</w:t>
            </w:r>
            <w:r>
              <w:rPr>
                <w:rFonts w:ascii="仿宋_GB2312" w:hAnsi="仿宋_GB2312" w:cs="仿宋" w:hint="eastAsia" w:eastAsia="仿宋_GB2312"/>
              </w:rPr>
              <w:t>月</w:t>
            </w:r>
            <w:r>
              <w:rPr>
                <w:rFonts w:eastAsia="仿宋_GB2312" w:cs="仿宋" w:hint="eastAsia" w:ascii="仿宋_GB2312" w:hAnsi="仿宋_GB2312"/>
              </w:rPr>
              <w:t>31</w:t>
            </w:r>
            <w:r>
              <w:rPr>
                <w:rFonts w:ascii="仿宋_GB2312" w:hAnsi="仿宋_GB2312" w:cs="仿宋" w:hint="eastAsia" w:eastAsia="仿宋_GB2312"/>
              </w:rPr>
              <w:t>日前修订完毕。</w:t>
            </w:r>
          </w:p>
        </w:tc>
      </w:tr>
    </w:tbl>
    <w:p>
      <w:pPr>
        <w:pStyle w:val="Normal"/>
        <w:snapToGrid w:val="true"/>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napToGrid w:val="true"/>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napToGrid w:val="true"/>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pacing w:lineRule="atLeast" w:line="220" w:before="0" w:after="200"/>
        <w:rPr>
          <w:rFonts w:ascii="仿宋_GB2312" w:hAnsi="仿宋_GB2312" w:eastAsia="仿宋_GB2312" w:cs="宋体;SimSun" w:hint="eastAsia"/>
        </w:rPr>
      </w:pPr>
      <w:r>
        <w:rPr>
          <w:rFonts w:eastAsia="仿宋_GB2312" w:cs="宋体;SimSun" w:hint="eastAsia" w:ascii="仿宋_GB2312" w:hAnsi="仿宋_GB2312"/>
        </w:rPr>
      </w:r>
    </w:p>
    <w:sectPr>
      <w:footerReference w:type="even" r:id="rId4"/>
      <w:footerReference w:type="default" r:id="rId5"/>
      <w:type w:val="nextPage"/>
      <w:pgSz w:w="11906" w:h="16838"/>
      <w:pgMar w:left="1531" w:right="1531"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5" behindDoc="1" locked="0" layoutInCell="0" allowOverlap="1">
              <wp:simplePos x="0" y="0"/>
              <wp:positionH relativeFrom="margin">
                <wp:posOffset>209550</wp:posOffset>
              </wp:positionH>
              <wp:positionV relativeFrom="paragraph">
                <wp:posOffset>-628015</wp:posOffset>
              </wp:positionV>
              <wp:extent cx="553720" cy="303530"/>
              <wp:effectExtent l="0" t="0" r="0" b="0"/>
              <wp:wrapNone/>
              <wp:docPr id="1" name="Frame3"/>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49.45pt;mso-position-vertical-relative:text;margin-left:16.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4" behindDoc="1" locked="0" layoutInCell="0" allowOverlap="1">
              <wp:simplePos x="0" y="0"/>
              <wp:positionH relativeFrom="margin">
                <wp:posOffset>4803140</wp:posOffset>
              </wp:positionH>
              <wp:positionV relativeFrom="paragraph">
                <wp:posOffset>-485140</wp:posOffset>
              </wp:positionV>
              <wp:extent cx="553720" cy="303530"/>
              <wp:effectExtent l="0" t="0" r="0" b="0"/>
              <wp:wrapNone/>
              <wp:docPr id="2" name="Frame2"/>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38.2pt;mso-position-vertical-relative:text;margin-left:378.2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flfgByID.action?txtid=1&amp;flfgID=214&amp;showDetailType=QW" TargetMode="External"/><Relationship Id="rId3" Type="http://schemas.openxmlformats.org/officeDocument/2006/relationships/hyperlink" Target="http://law.npc.gov.cn:80/FLFG/flfgByID.action?txtid=1&amp;flfgID=214&amp;showDetailType=QW"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hehe</dc:creator>
  <dc:description/>
  <cp:keywords/>
  <dc:language>en-US</dc:language>
  <cp:lastModifiedBy>Windows 用户</cp:lastModifiedBy>
  <dcterms:modified xsi:type="dcterms:W3CDTF">2017-09-13T14:56:00Z</dcterms:modified>
  <cp:revision>2</cp:revision>
  <dc:subject/>
  <dc:title>hehe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