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3.xml" ContentType="application/vnd.openxmlformats-officedocument.wordprocessingml.footer+xml"/>
  <Override PartName="/word/footer1.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15.xml" ContentType="application/vnd.openxmlformats-officedocument.wordprocessingml.footer+xml"/>
  <Override PartName="/word/footer4.xml" ContentType="application/vnd.openxmlformats-officedocument.wordprocessingml.footer+xml"/>
  <Override PartName="/word/footer17.xml" ContentType="application/vnd.openxmlformats-officedocument.wordprocessingml.footer+xml"/>
  <Override PartName="/word/footer5.xml" ContentType="application/vnd.openxmlformats-officedocument.wordprocessingml.footer+xml"/>
  <Override PartName="/word/document.xml" ContentType="application/vnd.openxmlformats-officedocument.wordprocessingml.document.main+xml"/>
  <Override PartName="/word/footer19.xml" ContentType="application/vnd.openxmlformats-officedocument.wordprocessingml.footer+xml"/>
  <Override PartName="/word/footer10.xml" ContentType="application/vnd.openxmlformats-officedocument.wordprocessingml.footer+xml"/>
  <Override PartName="/word/footer20.xml" ContentType="application/vnd.openxmlformats-officedocument.wordprocessingml.footer+xml"/>
  <Override PartName="/word/footer11.xml" ContentType="application/vnd.openxmlformats-officedocument.wordprocessingml.footer+xml"/>
  <Override PartName="/word/footer6.xml" ContentType="application/vnd.openxmlformats-officedocument.wordprocessingml.footer+xml"/>
  <Override PartName="/word/footer12.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footer8.xml" ContentType="application/vnd.openxmlformats-officedocument.wordprocessingml.footer+xml"/>
  <Override PartName="/word/styles.xml" ContentType="application/vnd.openxmlformats-officedocument.wordprocessingml.styles+xml"/>
  <Override PartName="/word/footer9.xml" ContentType="application/vnd.openxmlformats-officedocument.wordprocessingml.footer+xml"/>
  <Override PartName="/word/footer21.xml" ContentType="application/vnd.openxmlformats-officedocument.wordprocessingml.footer+xml"/>
  <Override PartName="/word/numbering.xml" ContentType="application/vnd.openxmlformats-officedocument.wordprocessingml.numbering+xml"/>
  <Override PartName="/word/footer7.xml" ContentType="application/vnd.openxmlformats-officedocument.wordprocessingml.footer+xml"/>
  <Override PartName="/word/footer23.xml" ContentType="application/vnd.openxmlformats-officedocument.wordprocessingml.footer+xml"/>
  <Override PartName="/word/footer3.xml" ContentType="application/vnd.openxmlformats-officedocument.wordprocessingml.footer+xml"/>
  <Override PartName="/word/footer24.xml" ContentType="application/vnd.openxmlformats-officedocument.wordprocessingml.footer+xml"/>
  <Override PartName="/word/footer16.xml" ContentType="application/vnd.openxmlformats-officedocument.wordprocessingml.footer+xml"/>
  <Override PartName="/word/footer25.xml" ContentType="application/vnd.openxmlformats-officedocument.wordprocessingml.footer+xml"/>
  <Override PartName="/word/footer2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start"/>
        <w:rPr>
          <w:rFonts w:ascii="宋体" w:hAnsi="宋体" w:cs="宋体"/>
          <w:b/>
          <w:bCs/>
          <w:color w:val="000000"/>
          <w:sz w:val="32"/>
          <w:szCs w:val="32"/>
        </w:rPr>
      </w:pPr>
      <w:r>
        <w:rPr>
          <w:rFonts w:cs="宋体" w:ascii="宋体" w:hAnsi="宋体"/>
          <w:b/>
          <w:bCs/>
          <w:color w:val="000000"/>
          <w:sz w:val="32"/>
          <w:szCs w:val="32"/>
        </w:rPr>
      </w:r>
    </w:p>
    <w:p>
      <w:pPr>
        <w:pStyle w:val="Normal"/>
        <w:spacing w:lineRule="auto" w:line="360"/>
        <w:jc w:val="center"/>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Normal"/>
        <w:spacing w:lineRule="auto" w:line="360"/>
        <w:jc w:val="center"/>
        <w:rPr>
          <w:rFonts w:ascii="宋体" w:hAnsi="宋体" w:eastAsia="宋体" w:cs="宋体" w:hint="eastAsia"/>
          <w:b/>
          <w:bCs/>
          <w:color w:val="000000"/>
          <w:sz w:val="44"/>
          <w:szCs w:val="44"/>
        </w:rPr>
      </w:pPr>
      <w:r>
        <w:rPr>
          <w:rFonts w:ascii="宋体" w:hAnsi="宋体" w:cs="宋体" w:hint="eastAsia"/>
          <w:b/>
          <w:bCs/>
          <w:color w:val="000000"/>
          <w:sz w:val="44"/>
          <w:szCs w:val="44"/>
        </w:rPr>
        <w:t>长白朝鲜族自治县二十三道沟河</w:t>
      </w:r>
    </w:p>
    <w:p>
      <w:pPr>
        <w:pStyle w:val="Normal"/>
        <w:spacing w:lineRule="auto" w:line="360"/>
        <w:jc w:val="center"/>
        <w:rPr>
          <w:rFonts w:ascii="宋体" w:hAnsi="宋体" w:eastAsia="宋体" w:cs="宋体" w:hint="eastAsia"/>
          <w:b/>
          <w:bCs/>
          <w:color w:val="000000"/>
          <w:sz w:val="44"/>
          <w:szCs w:val="44"/>
        </w:rPr>
      </w:pPr>
      <w:r>
        <w:rPr>
          <w:rFonts w:ascii="宋体" w:hAnsi="宋体" w:cs="宋体" w:hint="eastAsia"/>
          <w:b/>
          <w:bCs/>
          <w:color w:val="000000"/>
          <w:sz w:val="44"/>
          <w:szCs w:val="44"/>
        </w:rPr>
        <w:t>饮用水水源保护条例</w:t>
      </w:r>
    </w:p>
    <w:p>
      <w:pPr>
        <w:pStyle w:val="Normal"/>
        <w:ind w:firstLineChars="0" w:firstLine="0" w:startChars="0" w:start="0" w:endChars="168"/>
        <w:jc w:val="both"/>
        <w:rPr>
          <w:rFonts w:ascii="楷体_GB2312;楷体" w:hAnsi="楷体_GB2312;楷体" w:eastAsia="楷体_GB2312;楷体" w:cs="Arial" w:hint="eastAsia"/>
          <w:b/>
          <w:bCs/>
          <w:color w:val="000000"/>
          <w:sz w:val="32"/>
          <w:szCs w:val="32"/>
        </w:rPr>
      </w:pPr>
      <w:r>
        <w:rPr>
          <w:rFonts w:eastAsia="楷体_GB2312;楷体" w:cs="Arial" w:hint="eastAsia" w:ascii="楷体_GB2312;楷体" w:hAnsi="楷体_GB2312;楷体"/>
          <w:b/>
          <w:bCs/>
          <w:color w:val="000000"/>
          <w:sz w:val="32"/>
          <w:szCs w:val="32"/>
        </w:rPr>
      </w:r>
    </w:p>
    <w:p>
      <w:pPr>
        <w:pStyle w:val="Normal"/>
        <w:ind w:hangingChars="800" w:startChars="304" w:endChars="168"/>
        <w:jc w:val="both"/>
        <w:rPr>
          <w:rFonts w:ascii="楷体_GB2312;楷体" w:hAnsi="楷体_GB2312;楷体" w:eastAsia="楷体_GB2312;楷体" w:cs="Arial" w:hint="eastAsia"/>
          <w:sz w:val="32"/>
          <w:szCs w:val="32"/>
        </w:rPr>
      </w:pPr>
      <w:r>
        <w:rPr>
          <w:rFonts w:ascii="楷体_GB2312;楷体" w:hAnsi="楷体_GB2312;楷体" w:cs="Arial" w:hint="eastAsia" w:eastAsia="楷体_GB2312;楷体"/>
          <w:sz w:val="32"/>
          <w:szCs w:val="32"/>
        </w:rPr>
        <w:t>（</w:t>
      </w:r>
      <w:r>
        <w:rPr>
          <w:rFonts w:eastAsia="楷体_GB2312;楷体" w:cs="Arial" w:hint="eastAsia" w:ascii="楷体_GB2312;楷体" w:hAnsi="楷体_GB2312;楷体"/>
          <w:sz w:val="32"/>
          <w:szCs w:val="32"/>
        </w:rPr>
        <w:t>2019</w:t>
      </w:r>
      <w:r>
        <w:rPr>
          <w:rFonts w:ascii="楷体_GB2312;楷体" w:hAnsi="楷体_GB2312;楷体" w:cs="Arial" w:hint="eastAsia" w:eastAsia="楷体_GB2312;楷体"/>
          <w:sz w:val="32"/>
          <w:szCs w:val="32"/>
        </w:rPr>
        <w:t>年</w:t>
      </w:r>
      <w:r>
        <w:rPr>
          <w:rFonts w:eastAsia="楷体_GB2312;楷体" w:cs="Arial" w:hint="eastAsia" w:ascii="楷体_GB2312;楷体" w:hAnsi="楷体_GB2312;楷体"/>
          <w:sz w:val="32"/>
          <w:szCs w:val="32"/>
        </w:rPr>
        <w:t>1</w:t>
      </w:r>
      <w:r>
        <w:rPr>
          <w:rFonts w:ascii="楷体_GB2312;楷体" w:hAnsi="楷体_GB2312;楷体" w:cs="Arial" w:hint="eastAsia" w:eastAsia="楷体_GB2312;楷体"/>
          <w:sz w:val="32"/>
          <w:szCs w:val="32"/>
        </w:rPr>
        <w:t>月</w:t>
      </w:r>
      <w:r>
        <w:rPr>
          <w:rFonts w:eastAsia="楷体_GB2312;楷体" w:cs="Arial" w:hint="eastAsia" w:ascii="楷体_GB2312;楷体" w:hAnsi="楷体_GB2312;楷体"/>
          <w:sz w:val="32"/>
          <w:szCs w:val="32"/>
        </w:rPr>
        <w:t>23</w:t>
      </w:r>
      <w:r>
        <w:rPr>
          <w:rFonts w:ascii="楷体_GB2312;楷体" w:hAnsi="楷体_GB2312;楷体" w:cs="Arial" w:hint="eastAsia" w:eastAsia="楷体_GB2312;楷体"/>
          <w:sz w:val="32"/>
          <w:szCs w:val="32"/>
        </w:rPr>
        <w:t>日长白朝鲜族自治县第十八届人民代表大会第三次会议通过）</w:t>
      </w:r>
    </w:p>
    <w:p>
      <w:pPr>
        <w:pStyle w:val="Normal"/>
        <w:jc w:val="start"/>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楷体_GB2312;楷体" w:hAnsi="楷体_GB2312;楷体" w:eastAsia="楷体_GB2312;楷体" w:cs="Arial" w:hint="eastAsia"/>
          <w:sz w:val="32"/>
          <w:szCs w:val="32"/>
        </w:rPr>
      </w:pPr>
      <w:r>
        <w:rPr>
          <w:rFonts w:ascii="楷体_GB2312;楷体" w:hAnsi="楷体_GB2312;楷体" w:cs="Arial" w:hint="eastAsia" w:eastAsia="楷体_GB2312;楷体"/>
          <w:sz w:val="32"/>
          <w:szCs w:val="32"/>
        </w:rPr>
        <w:t>目    录</w:t>
      </w:r>
    </w:p>
    <w:p>
      <w:pPr>
        <w:pStyle w:val="Normal"/>
        <w:ind w:firstLineChars="200" w:startChars="0" w:start="0" w:endChars="0" w:end="0"/>
        <w:jc w:val="both"/>
        <w:rPr>
          <w:rFonts w:ascii="楷体_GB2312;楷体" w:hAnsi="楷体_GB2312;楷体" w:eastAsia="楷体_GB2312;楷体" w:cs="Arial" w:hint="eastAsia"/>
          <w:sz w:val="32"/>
          <w:szCs w:val="32"/>
        </w:rPr>
      </w:pPr>
      <w:r>
        <w:rPr>
          <w:rFonts w:ascii="楷体_GB2312;楷体" w:hAnsi="楷体_GB2312;楷体" w:cs="Arial" w:hint="eastAsia" w:eastAsia="楷体_GB2312;楷体"/>
          <w:sz w:val="32"/>
          <w:szCs w:val="32"/>
        </w:rPr>
        <w:t>第一章  总则</w:t>
      </w:r>
    </w:p>
    <w:p>
      <w:pPr>
        <w:pStyle w:val="Normal"/>
        <w:ind w:firstLineChars="200" w:startChars="0" w:start="0" w:endChars="0" w:end="0"/>
        <w:jc w:val="start"/>
        <w:rPr>
          <w:rFonts w:ascii="楷体_GB2312;楷体" w:hAnsi="楷体_GB2312;楷体" w:eastAsia="楷体_GB2312;楷体" w:cs="Arial" w:hint="eastAsia"/>
          <w:sz w:val="32"/>
          <w:szCs w:val="32"/>
        </w:rPr>
      </w:pPr>
      <w:r>
        <w:rPr>
          <w:rFonts w:ascii="楷体_GB2312;楷体" w:hAnsi="楷体_GB2312;楷体" w:cs="Arial" w:hint="eastAsia" w:eastAsia="楷体_GB2312;楷体"/>
          <w:sz w:val="32"/>
          <w:szCs w:val="32"/>
        </w:rPr>
        <w:t>第二章  监督管理</w:t>
      </w:r>
    </w:p>
    <w:p>
      <w:pPr>
        <w:pStyle w:val="Normal"/>
        <w:ind w:firstLineChars="200" w:startChars="0" w:start="0" w:endChars="0" w:end="0"/>
        <w:jc w:val="start"/>
        <w:rPr>
          <w:rFonts w:ascii="楷体_GB2312;楷体" w:hAnsi="楷体_GB2312;楷体" w:eastAsia="楷体_GB2312;楷体" w:cs="Arial" w:hint="eastAsia"/>
          <w:sz w:val="32"/>
          <w:szCs w:val="32"/>
        </w:rPr>
      </w:pPr>
      <w:r>
        <w:rPr>
          <w:rFonts w:ascii="楷体_GB2312;楷体" w:hAnsi="楷体_GB2312;楷体" w:cs="Arial" w:hint="eastAsia" w:eastAsia="楷体_GB2312;楷体"/>
          <w:sz w:val="32"/>
          <w:szCs w:val="32"/>
        </w:rPr>
        <w:t>第三章  保护措施</w:t>
      </w:r>
    </w:p>
    <w:p>
      <w:pPr>
        <w:pStyle w:val="Normal"/>
        <w:ind w:firstLineChars="200" w:startChars="0" w:start="0" w:endChars="0" w:end="0"/>
        <w:jc w:val="start"/>
        <w:rPr>
          <w:rFonts w:ascii="楷体_GB2312;楷体" w:hAnsi="楷体_GB2312;楷体" w:eastAsia="楷体_GB2312;楷体" w:cs="Arial" w:hint="eastAsia"/>
          <w:sz w:val="32"/>
          <w:szCs w:val="32"/>
        </w:rPr>
      </w:pPr>
      <w:r>
        <w:rPr>
          <w:rFonts w:ascii="楷体_GB2312;楷体" w:hAnsi="楷体_GB2312;楷体" w:cs="Arial" w:hint="eastAsia" w:eastAsia="楷体_GB2312;楷体"/>
          <w:sz w:val="32"/>
          <w:szCs w:val="32"/>
        </w:rPr>
        <w:t>第四章  法律责任</w:t>
      </w:r>
    </w:p>
    <w:p>
      <w:pPr>
        <w:pStyle w:val="Normal"/>
        <w:ind w:firstLineChars="200" w:startChars="0" w:start="0" w:endChars="0" w:end="0"/>
        <w:jc w:val="start"/>
        <w:rPr>
          <w:rFonts w:ascii="楷体_GB2312;楷体" w:hAnsi="楷体_GB2312;楷体" w:eastAsia="楷体_GB2312;楷体" w:cs="Arial" w:hint="eastAsia"/>
          <w:sz w:val="32"/>
          <w:szCs w:val="32"/>
        </w:rPr>
      </w:pPr>
      <w:r>
        <w:rPr>
          <w:rFonts w:ascii="楷体_GB2312;楷体" w:hAnsi="楷体_GB2312;楷体" w:cs="Arial" w:hint="eastAsia" w:eastAsia="楷体_GB2312;楷体"/>
          <w:sz w:val="32"/>
          <w:szCs w:val="32"/>
        </w:rPr>
        <w:t>第五章  附则</w:t>
      </w:r>
    </w:p>
    <w:p>
      <w:pPr>
        <w:pStyle w:val="Normal"/>
        <w:ind w:firstLineChars="200" w:startChars="0" w:start="0" w:endChars="0" w:end="0"/>
        <w:jc w:val="start"/>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jc w:val="center"/>
        <w:textAlignment w:val="auto"/>
        <w:rPr>
          <w:rFonts w:ascii="黑体" w:hAnsi="黑体" w:eastAsia="黑体" w:cs="黑体" w:hint="eastAsia"/>
          <w:b/>
          <w:bCs/>
          <w:color w:val="000000"/>
          <w:sz w:val="32"/>
          <w:szCs w:val="32"/>
        </w:rPr>
      </w:pPr>
      <w:r>
        <w:rPr>
          <w:rFonts w:ascii="宋体" w:hAnsi="宋体" w:cs="宋体" w:hint="eastAsia"/>
          <w:b/>
          <w:bCs/>
          <w:color w:val="000000"/>
          <w:sz w:val="32"/>
          <w:szCs w:val="32"/>
        </w:rPr>
        <w:t>第一章</w:t>
      </w:r>
      <w:r>
        <w:rPr>
          <w:rFonts w:ascii="黑体" w:hAnsi="黑体" w:cs="黑体" w:hint="eastAsia" w:eastAsia="黑体"/>
          <w:b/>
          <w:bCs/>
          <w:color w:val="000000"/>
          <w:sz w:val="32"/>
          <w:szCs w:val="32"/>
        </w:rPr>
        <w:t xml:space="preserve"> 总则</w:t>
      </w:r>
    </w:p>
    <w:p>
      <w:pPr>
        <w:pStyle w:val="Normal"/>
        <w:keepNext w:val="false"/>
        <w:keepLines w:val="false"/>
        <w:pageBreakBefore w:val="false"/>
        <w:widowControl/>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Arial" w:hint="eastAsia"/>
          <w:b/>
          <w:bCs/>
          <w:color w:val="000000"/>
          <w:kern w:val="0"/>
          <w:sz w:val="32"/>
          <w:szCs w:val="32"/>
        </w:rPr>
      </w:pPr>
      <w:r>
        <w:rPr>
          <w:rFonts w:eastAsia="仿宋_GB2312" w:cs="Arial" w:hint="eastAsia" w:ascii="仿宋_GB2312" w:hAnsi="仿宋_GB2312"/>
          <w:b/>
          <w:bCs/>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pacing w:val="17"/>
          <w:kern w:val="0"/>
          <w:sz w:val="32"/>
          <w:szCs w:val="32"/>
        </w:rPr>
        <w:sectPr>
          <w:footerReference w:type="default" r:id="rId2"/>
          <w:type w:val="nextPage"/>
          <w:pgSz w:w="11906" w:h="16838"/>
          <w:pgMar w:left="1587" w:right="1474" w:gutter="0" w:header="0" w:top="2098" w:footer="992" w:bottom="1984"/>
          <w:pgNumType w:fmt="decimal"/>
          <w:formProt w:val="false"/>
          <w:textDirection w:val="lrTb"/>
          <w:docGrid w:type="lines" w:linePitch="312" w:charSpace="0"/>
        </w:sectPr>
      </w:pPr>
      <w:r>
        <w:rPr>
          <w:rFonts w:ascii="黑体" w:hAnsi="黑体" w:cs="黑体" w:hint="eastAsia" w:eastAsia="黑体"/>
          <w:kern w:val="0"/>
          <w:sz w:val="32"/>
          <w:szCs w:val="32"/>
        </w:rPr>
        <w:t>第一条</w:t>
      </w:r>
      <w:r>
        <w:rPr>
          <w:rFonts w:ascii="仿宋_GB2312" w:hAnsi="仿宋_GB2312" w:cs="仿宋_GB2312" w:hint="eastAsia" w:eastAsia="仿宋_GB2312"/>
          <w:kern w:val="0"/>
          <w:sz w:val="32"/>
          <w:szCs w:val="32"/>
        </w:rPr>
        <w:t xml:space="preserve"> 为了</w:t>
      </w:r>
      <w:r>
        <w:rPr>
          <w:rFonts w:ascii="仿宋" w:hAnsi="仿宋" w:cs="仿宋" w:hint="eastAsia" w:eastAsia="仿宋"/>
          <w:color w:val="000000"/>
          <w:spacing w:val="17"/>
          <w:kern w:val="0"/>
          <w:sz w:val="32"/>
          <w:szCs w:val="32"/>
        </w:rPr>
        <w:t>保护二十三道沟河饮用水水源，保障城镇居民饮用水安全，根据《中华人民共和国水法》《中华人民共和国水污染防治法》《吉林省城镇饮用水水源保护条例》等法律法规，结合自治县实际，制定本条例。</w:t>
      </w:r>
      <w:r>
        <w:br w:type="page"/>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pacing w:val="17"/>
          <w:kern w:val="0"/>
          <w:sz w:val="32"/>
          <w:szCs w:val="32"/>
        </w:rPr>
      </w:pPr>
      <w:r>
        <w:rPr>
          <w:rFonts w:ascii="黑体" w:hAnsi="黑体" w:cs="Arial" w:hint="eastAsia" w:eastAsia="黑体"/>
          <w:kern w:val="0"/>
          <w:sz w:val="32"/>
          <w:szCs w:val="32"/>
        </w:rPr>
        <w:t>第二条</w:t>
      </w:r>
      <w:bookmarkStart w:id="0" w:name="_Hlk529651661"/>
      <w:bookmarkStart w:id="1" w:name="_Hlk527099634"/>
      <w:r>
        <w:rPr>
          <w:rFonts w:ascii="仿宋_GB2312" w:hAnsi="仿宋_GB2312" w:cs="仿宋_GB2312" w:hint="eastAsia" w:eastAsia="仿宋_GB2312"/>
          <w:kern w:val="0"/>
          <w:sz w:val="32"/>
          <w:szCs w:val="32"/>
        </w:rPr>
        <w:t xml:space="preserve"> </w:t>
      </w:r>
      <w:r>
        <w:rPr>
          <w:rFonts w:ascii="仿宋" w:hAnsi="仿宋" w:cs="仿宋" w:hint="eastAsia" w:eastAsia="仿宋"/>
          <w:color w:val="000000"/>
          <w:spacing w:val="17"/>
          <w:kern w:val="0"/>
          <w:sz w:val="32"/>
          <w:szCs w:val="32"/>
        </w:rPr>
        <w:t>长白朝鲜族自治县（以下简称自治县）二十三道沟河（以下简称二十三道沟）饮用水水源的保护和管理，适用本条例</w:t>
      </w:r>
      <w:bookmarkEnd w:id="1"/>
      <w:r>
        <w:rPr>
          <w:rFonts w:ascii="仿宋" w:hAnsi="仿宋" w:cs="仿宋" w:hint="eastAsia" w:eastAsia="仿宋"/>
          <w:color w:val="000000"/>
          <w:spacing w:val="17"/>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pacing w:val="17"/>
          <w:kern w:val="0"/>
          <w:sz w:val="32"/>
          <w:szCs w:val="32"/>
        </w:rPr>
      </w:pPr>
      <w:bookmarkEnd w:id="0"/>
      <w:r>
        <w:rPr>
          <w:rFonts w:ascii="黑体" w:hAnsi="黑体" w:cs="Arial" w:hint="eastAsia" w:eastAsia="黑体"/>
          <w:kern w:val="0"/>
          <w:sz w:val="32"/>
          <w:szCs w:val="32"/>
        </w:rPr>
        <w:t>第三条</w:t>
      </w:r>
      <w:r>
        <w:rPr>
          <w:rFonts w:ascii="仿宋_GB2312" w:hAnsi="仿宋_GB2312" w:cs="仿宋_GB2312" w:hint="eastAsia" w:eastAsia="仿宋_GB2312"/>
          <w:kern w:val="0"/>
          <w:sz w:val="32"/>
          <w:szCs w:val="32"/>
        </w:rPr>
        <w:t xml:space="preserve"> </w:t>
      </w:r>
      <w:r>
        <w:rPr>
          <w:rFonts w:ascii="仿宋" w:hAnsi="仿宋" w:cs="仿宋" w:hint="eastAsia" w:eastAsia="仿宋"/>
          <w:color w:val="000000"/>
          <w:spacing w:val="17"/>
          <w:kern w:val="0"/>
          <w:sz w:val="32"/>
          <w:szCs w:val="32"/>
        </w:rPr>
        <w:t>二十三道沟饮用水水源地划分为一级保护区、二级保护区和准保护区，</w:t>
      </w:r>
      <w:bookmarkStart w:id="2" w:name="_Hlk527099466"/>
      <w:r>
        <w:rPr>
          <w:rFonts w:ascii="仿宋" w:hAnsi="仿宋" w:cs="仿宋" w:hint="eastAsia" w:eastAsia="仿宋"/>
          <w:color w:val="000000"/>
          <w:spacing w:val="17"/>
          <w:kern w:val="0"/>
          <w:sz w:val="32"/>
          <w:szCs w:val="32"/>
        </w:rPr>
        <w:t>饮用水水源保护区的划定按照《吉林省人民政府关于长白朝鲜族自治县二十三道沟河生活饮用水水源保护区划的批复》执行。</w:t>
      </w:r>
      <w:bookmarkEnd w:id="2"/>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pacing w:val="17"/>
          <w:kern w:val="0"/>
          <w:sz w:val="32"/>
          <w:szCs w:val="32"/>
        </w:rPr>
      </w:pPr>
      <w:r>
        <w:rPr>
          <w:rFonts w:ascii="黑体" w:hAnsi="黑体" w:cs="Arial" w:hint="eastAsia" w:eastAsia="黑体"/>
          <w:kern w:val="0"/>
          <w:sz w:val="32"/>
          <w:szCs w:val="32"/>
        </w:rPr>
        <w:t>第四条</w:t>
      </w:r>
      <w:r>
        <w:rPr>
          <w:rFonts w:ascii="仿宋_GB2312" w:hAnsi="仿宋_GB2312" w:cs="仿宋_GB2312" w:hint="eastAsia" w:eastAsia="仿宋_GB2312"/>
          <w:kern w:val="0"/>
          <w:sz w:val="32"/>
          <w:szCs w:val="32"/>
        </w:rPr>
        <w:t xml:space="preserve"> </w:t>
      </w:r>
      <w:r>
        <w:rPr>
          <w:rFonts w:ascii="仿宋" w:hAnsi="仿宋" w:cs="仿宋" w:hint="eastAsia" w:eastAsia="仿宋"/>
          <w:color w:val="000000"/>
          <w:spacing w:val="17"/>
          <w:kern w:val="0"/>
          <w:sz w:val="32"/>
          <w:szCs w:val="32"/>
        </w:rPr>
        <w:t>二十三道沟饮用水水源的保护和管理应当遵循</w:t>
      </w:r>
      <w:bookmarkStart w:id="3" w:name="_Hlk533923199"/>
      <w:r>
        <w:rPr>
          <w:rFonts w:ascii="仿宋" w:hAnsi="仿宋" w:cs="仿宋" w:hint="eastAsia" w:eastAsia="仿宋"/>
          <w:color w:val="000000"/>
          <w:spacing w:val="17"/>
          <w:kern w:val="0"/>
          <w:sz w:val="32"/>
          <w:szCs w:val="32"/>
        </w:rPr>
        <w:t>统一规划、保护优先、综合防治、强化监管、保障安全的原则</w:t>
      </w:r>
      <w:bookmarkEnd w:id="3"/>
      <w:r>
        <w:rPr>
          <w:rFonts w:ascii="仿宋" w:hAnsi="仿宋" w:cs="仿宋" w:hint="eastAsia" w:eastAsia="仿宋"/>
          <w:color w:val="000000"/>
          <w:spacing w:val="17"/>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pacing w:val="17"/>
          <w:kern w:val="0"/>
          <w:sz w:val="32"/>
          <w:szCs w:val="32"/>
        </w:rPr>
      </w:pPr>
      <w:r>
        <w:rPr>
          <w:rFonts w:ascii="黑体" w:hAnsi="黑体" w:cs="Arial" w:hint="eastAsia" w:eastAsia="黑体"/>
          <w:kern w:val="0"/>
          <w:sz w:val="32"/>
          <w:szCs w:val="32"/>
        </w:rPr>
        <w:t>第五条</w:t>
      </w:r>
      <w:r>
        <w:rPr>
          <w:rFonts w:ascii="仿宋_GB2312" w:hAnsi="仿宋_GB2312" w:cs="仿宋_GB2312" w:hint="eastAsia" w:eastAsia="仿宋_GB2312"/>
          <w:kern w:val="0"/>
          <w:sz w:val="32"/>
          <w:szCs w:val="32"/>
        </w:rPr>
        <w:t xml:space="preserve"> </w:t>
      </w:r>
      <w:r>
        <w:rPr>
          <w:rFonts w:ascii="仿宋" w:hAnsi="仿宋" w:cs="仿宋" w:hint="eastAsia" w:eastAsia="仿宋"/>
          <w:color w:val="000000"/>
          <w:spacing w:val="17"/>
          <w:kern w:val="0"/>
          <w:sz w:val="32"/>
          <w:szCs w:val="32"/>
        </w:rPr>
        <w:t>自治县人民政府统一领导二十三道沟饮用水水源的保护和管理工作。</w:t>
      </w:r>
      <w:bookmarkStart w:id="4" w:name="_Hlk529651602"/>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color w:val="000000"/>
          <w:kern w:val="0"/>
          <w:sz w:val="32"/>
          <w:szCs w:val="32"/>
        </w:rPr>
      </w:pPr>
      <w:r>
        <w:rPr>
          <w:rFonts w:ascii="仿宋" w:hAnsi="仿宋" w:cs="仿宋" w:hint="eastAsia" w:eastAsia="仿宋"/>
          <w:color w:val="000000"/>
          <w:spacing w:val="20"/>
          <w:kern w:val="0"/>
          <w:sz w:val="32"/>
          <w:szCs w:val="32"/>
        </w:rPr>
        <w:t>自治县人民政府将二十三道沟饮用水水源保护工作纳入国民经济和社会发展规划，并与国土空间规划、水污染防治规划及水资源综合</w:t>
      </w:r>
      <w:r>
        <w:rPr>
          <w:rFonts w:ascii="仿宋" w:hAnsi="仿宋" w:cs="仿宋" w:hint="eastAsia" w:eastAsia="仿宋"/>
          <w:color w:val="000000"/>
          <w:kern w:val="0"/>
          <w:sz w:val="32"/>
          <w:szCs w:val="32"/>
        </w:rPr>
        <w:t>规划相衔接。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color w:val="000000"/>
          <w:kern w:val="0"/>
          <w:sz w:val="32"/>
          <w:szCs w:val="32"/>
        </w:rPr>
      </w:pPr>
      <w:bookmarkStart w:id="5" w:name="_Hlk529807055"/>
      <w:bookmarkEnd w:id="4"/>
      <w:r>
        <w:rPr>
          <w:rFonts w:ascii="仿宋" w:hAnsi="仿宋" w:cs="仿宋" w:hint="eastAsia" w:eastAsia="仿宋"/>
          <w:color w:val="000000"/>
          <w:kern w:val="0"/>
          <w:sz w:val="32"/>
          <w:szCs w:val="32"/>
        </w:rPr>
        <w:t>自治县人民政府生态环境保护部门会同发展改革、公安、自然资源、住建、水利、农业、文化和旅游、卫健、林业和草原等主管部门，各司其责做好二十三道沟饮用水水源保护工作。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kern w:val="0"/>
          <w:sz w:val="32"/>
          <w:szCs w:val="32"/>
        </w:rPr>
      </w:pPr>
      <w:r>
        <w:rPr>
          <w:rFonts w:ascii="黑体" w:hAnsi="黑体" w:cs="Arial" w:hint="eastAsia" w:eastAsia="黑体"/>
          <w:kern w:val="0"/>
          <w:sz w:val="32"/>
          <w:szCs w:val="32"/>
        </w:rPr>
        <w:t>第六条</w:t>
      </w:r>
      <w:r>
        <w:rPr>
          <w:rFonts w:ascii="仿宋_GB2312" w:hAnsi="仿宋_GB2312" w:cs="仿宋_GB2312" w:hint="eastAsia" w:eastAsia="仿宋_GB2312"/>
          <w:kern w:val="0"/>
          <w:sz w:val="32"/>
          <w:szCs w:val="32"/>
        </w:rPr>
        <w:t xml:space="preserve"> </w:t>
      </w:r>
      <w:r>
        <w:rPr>
          <w:rFonts w:ascii="仿宋" w:hAnsi="仿宋" w:cs="仿宋" w:hint="eastAsia" w:eastAsia="仿宋"/>
          <w:color w:val="000000"/>
          <w:kern w:val="0"/>
          <w:sz w:val="32"/>
          <w:szCs w:val="32"/>
        </w:rPr>
        <w:t>自治县人民政府将二十三道沟饮用水水源保护经费纳入本级财政预算，设立专项资金，用于饮用水水源保护、生态补偿和监督管理等工作。</w:t>
      </w:r>
      <w:bookmarkEnd w:id="5"/>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kern w:val="0"/>
          <w:sz w:val="32"/>
          <w:szCs w:val="32"/>
        </w:rPr>
        <w:sectPr>
          <w:footerReference w:type="default" r:id="rId3"/>
          <w:footerReference w:type="first" r:id="rId4"/>
          <w:type w:val="nextPage"/>
          <w:pgSz w:w="11906" w:h="16838"/>
          <w:pgMar w:left="1587" w:right="1474" w:gutter="0" w:header="0" w:top="2098" w:footer="992" w:bottom="1984"/>
          <w:pgNumType w:start="1" w:fmt="decimal"/>
          <w:formProt w:val="false"/>
          <w:textDirection w:val="lrTb"/>
          <w:docGrid w:type="lines" w:linePitch="312" w:charSpace="0"/>
        </w:sectPr>
      </w:pPr>
      <w:r>
        <w:rPr>
          <w:rFonts w:ascii="黑体" w:hAnsi="黑体" w:cs="Arial" w:hint="eastAsia" w:eastAsia="黑体"/>
          <w:kern w:val="0"/>
          <w:sz w:val="32"/>
          <w:szCs w:val="32"/>
        </w:rPr>
        <w:t>第七条</w:t>
      </w:r>
      <w:r>
        <w:rPr>
          <w:rFonts w:ascii="仿宋_GB2312" w:hAnsi="仿宋_GB2312" w:cs="仿宋_GB2312" w:hint="eastAsia" w:eastAsia="仿宋_GB2312"/>
          <w:kern w:val="0"/>
          <w:sz w:val="32"/>
          <w:szCs w:val="32"/>
        </w:rPr>
        <w:t xml:space="preserve"> </w:t>
      </w:r>
      <w:r>
        <w:rPr>
          <w:rFonts w:ascii="仿宋" w:hAnsi="仿宋" w:cs="仿宋" w:hint="eastAsia" w:eastAsia="仿宋"/>
          <w:color w:val="000000"/>
          <w:kern w:val="0"/>
          <w:sz w:val="32"/>
          <w:szCs w:val="32"/>
        </w:rPr>
        <w:t>任何单位和个人都有保护饮用水水源不受污染的义</w:t>
      </w:r>
      <w:r>
        <w:br w:type="page"/>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 w:hAnsi="仿宋" w:eastAsia="仿宋" w:cs="仿宋"/>
          <w:color w:val="000000"/>
          <w:kern w:val="0"/>
          <w:sz w:val="32"/>
          <w:szCs w:val="32"/>
        </w:rPr>
      </w:pPr>
      <w:r>
        <w:rPr>
          <w:rFonts w:ascii="仿宋" w:hAnsi="仿宋" w:cs="仿宋" w:hint="eastAsia" w:eastAsia="仿宋"/>
          <w:color w:val="000000"/>
          <w:kern w:val="0"/>
          <w:sz w:val="32"/>
          <w:szCs w:val="32"/>
        </w:rPr>
        <w:t>务。</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color w:val="000000"/>
          <w:kern w:val="0"/>
          <w:sz w:val="32"/>
          <w:szCs w:val="32"/>
        </w:rPr>
      </w:pPr>
      <w:r>
        <w:rPr>
          <w:rFonts w:ascii="仿宋" w:hAnsi="仿宋" w:cs="仿宋" w:hint="eastAsia" w:eastAsia="仿宋"/>
          <w:color w:val="000000"/>
          <w:kern w:val="0"/>
          <w:sz w:val="32"/>
          <w:szCs w:val="32"/>
        </w:rPr>
        <w:t>自治县人民政府生态环境保护部门设立饮用水水源保护监督举报电话，各相关部门应当建立协作处理机制。</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color w:val="000000"/>
          <w:kern w:val="0"/>
          <w:sz w:val="32"/>
          <w:szCs w:val="32"/>
        </w:rPr>
      </w:pPr>
      <w:r>
        <w:rPr>
          <w:rFonts w:ascii="仿宋" w:hAnsi="仿宋" w:cs="仿宋" w:hint="eastAsia" w:eastAsia="仿宋"/>
          <w:color w:val="000000"/>
          <w:kern w:val="0"/>
          <w:sz w:val="32"/>
          <w:szCs w:val="32"/>
        </w:rPr>
        <w:t>自治县人民政府及主管部门对水源保护工作中做出显著成绩的单位和个人给予表彰和奖励。</w:t>
      </w:r>
    </w:p>
    <w:p>
      <w:pPr>
        <w:pStyle w:val="Normal"/>
        <w:keepNext w:val="false"/>
        <w:keepLines w:val="false"/>
        <w:pageBreakBefore w:val="false"/>
        <w:kinsoku w:val="true"/>
        <w:overflowPunct w:val="true"/>
        <w:autoSpaceDE w:val="true"/>
        <w:bidi w:val="0"/>
        <w:snapToGrid w:val="true"/>
        <w:spacing w:lineRule="exact" w:line="560" w:before="100" w:after="100"/>
        <w:jc w:val="center"/>
        <w:textAlignment w:val="auto"/>
        <w:rPr>
          <w:rFonts w:ascii="宋体" w:hAnsi="宋体" w:eastAsia="宋体" w:cs="宋体" w:hint="eastAsia"/>
          <w:b/>
          <w:bCs/>
          <w:color w:val="000000"/>
          <w:kern w:val="0"/>
          <w:sz w:val="32"/>
          <w:szCs w:val="32"/>
        </w:rPr>
      </w:pPr>
      <w:r>
        <w:rPr>
          <w:rFonts w:eastAsia="宋体" w:cs="宋体" w:hint="eastAsia" w:ascii="宋体" w:hAnsi="宋体"/>
          <w:b/>
          <w:bCs/>
          <w:color w:val="000000"/>
          <w:kern w:val="0"/>
          <w:sz w:val="32"/>
          <w:szCs w:val="32"/>
        </w:rPr>
      </w:r>
    </w:p>
    <w:p>
      <w:pPr>
        <w:pStyle w:val="Normal"/>
        <w:keepNext w:val="false"/>
        <w:keepLines w:val="false"/>
        <w:pageBreakBefore w:val="false"/>
        <w:kinsoku w:val="true"/>
        <w:overflowPunct w:val="true"/>
        <w:autoSpaceDE w:val="true"/>
        <w:bidi w:val="0"/>
        <w:snapToGrid w:val="true"/>
        <w:spacing w:lineRule="exact" w:line="560" w:before="100" w:after="100"/>
        <w:jc w:val="center"/>
        <w:textAlignment w:val="auto"/>
        <w:rPr>
          <w:rFonts w:ascii="黑体" w:hAnsi="黑体" w:eastAsia="黑体" w:cs="黑体"/>
          <w:b/>
          <w:bCs/>
          <w:color w:val="000000"/>
          <w:sz w:val="32"/>
          <w:szCs w:val="32"/>
        </w:rPr>
      </w:pPr>
      <w:r>
        <w:rPr>
          <w:rFonts w:ascii="宋体" w:hAnsi="宋体" w:cs="宋体" w:hint="eastAsia"/>
          <w:b/>
          <w:bCs/>
          <w:color w:val="000000"/>
          <w:sz w:val="32"/>
          <w:szCs w:val="32"/>
        </w:rPr>
        <w:t>第二章</w:t>
      </w:r>
      <w:r>
        <w:rPr>
          <w:rFonts w:ascii="黑体" w:hAnsi="黑体" w:cs="黑体" w:hint="eastAsia" w:eastAsia="黑体"/>
          <w:b/>
          <w:bCs/>
          <w:color w:val="000000"/>
          <w:sz w:val="32"/>
          <w:szCs w:val="32"/>
        </w:rPr>
        <w:t xml:space="preserve"> 监督管理</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Arial" w:hint="eastAsia"/>
          <w:b/>
          <w:bCs/>
          <w:color w:val="000000"/>
          <w:kern w:val="0"/>
          <w:sz w:val="32"/>
          <w:szCs w:val="32"/>
        </w:rPr>
      </w:pPr>
      <w:r>
        <w:rPr>
          <w:rFonts w:eastAsia="黑体" w:cs="Arial" w:hint="eastAsia" w:ascii="黑体" w:hAnsi="黑体"/>
          <w:b/>
          <w:bCs/>
          <w:color w:val="000000"/>
          <w:kern w:val="0"/>
          <w:sz w:val="32"/>
          <w:szCs w:val="32"/>
        </w:rPr>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Arial" w:hint="eastAsia" w:eastAsia="黑体"/>
          <w:kern w:val="0"/>
          <w:sz w:val="32"/>
          <w:szCs w:val="32"/>
        </w:rPr>
        <w:t>第八条</w:t>
      </w:r>
      <w:r>
        <w:rPr>
          <w:rFonts w:ascii="仿宋_GB2312" w:hAnsi="仿宋_GB2312" w:cs="仿宋_GB2312" w:hint="eastAsia" w:eastAsia="仿宋_GB2312"/>
          <w:kern w:val="0"/>
          <w:sz w:val="32"/>
          <w:szCs w:val="32"/>
        </w:rPr>
        <w:t xml:space="preserve"> </w:t>
      </w:r>
      <w:r>
        <w:rPr>
          <w:rFonts w:ascii="仿宋" w:hAnsi="仿宋" w:cs="仿宋" w:hint="eastAsia" w:eastAsia="仿宋"/>
          <w:color w:val="000000"/>
          <w:sz w:val="32"/>
          <w:szCs w:val="32"/>
        </w:rPr>
        <w:t>自治县人民政府及主管部门应当积极采取措施，确保为全县居民提供安全、纯净的优质饮用水。</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水源一级保护区的水质标准不得低于国家规定的地表水环境质量标准</w:t>
      </w:r>
      <w:r>
        <w:rPr>
          <w:rFonts w:eastAsia="仿宋" w:cs="仿宋" w:hint="eastAsia" w:ascii="仿宋" w:hAnsi="仿宋"/>
          <w:color w:val="000000"/>
          <w:sz w:val="32"/>
          <w:szCs w:val="32"/>
        </w:rPr>
        <w:t>II</w:t>
      </w:r>
      <w:r>
        <w:rPr>
          <w:rFonts w:ascii="仿宋" w:hAnsi="仿宋" w:cs="仿宋" w:hint="eastAsia" w:eastAsia="仿宋"/>
          <w:color w:val="000000"/>
          <w:sz w:val="32"/>
          <w:szCs w:val="32"/>
        </w:rPr>
        <w:t>类标准，并须符合国家规定的《生活饮用水卫生标准》的要求。</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水源二级保护区的水质标准不得低于国家规定的地表水环境质量标准</w:t>
      </w:r>
      <w:r>
        <w:rPr>
          <w:rFonts w:eastAsia="仿宋" w:cs="仿宋" w:ascii="仿宋" w:hAnsi="仿宋"/>
          <w:color w:val="000000"/>
          <w:sz w:val="32"/>
          <w:szCs w:val="32"/>
        </w:rPr>
        <w:t>III</w:t>
      </w:r>
      <w:r>
        <w:rPr>
          <w:rFonts w:ascii="仿宋" w:hAnsi="仿宋" w:cs="仿宋" w:hint="eastAsia" w:eastAsia="仿宋"/>
          <w:color w:val="000000"/>
          <w:sz w:val="32"/>
          <w:szCs w:val="32"/>
        </w:rPr>
        <w:t>类标准，应当保证一级保护区的水质符合规定的标准。</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准保护区的水质标准应当保证二级保护区的水质能满足规定的标准。</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bookmarkStart w:id="6" w:name="_Hlk529807249"/>
      <w:r>
        <w:rPr>
          <w:rFonts w:ascii="黑体" w:hAnsi="黑体" w:cs="Arial" w:hint="eastAsia" w:eastAsia="黑体"/>
          <w:kern w:val="0"/>
          <w:sz w:val="32"/>
          <w:szCs w:val="32"/>
        </w:rPr>
        <w:t>第九条</w:t>
      </w:r>
      <w:r>
        <w:rPr>
          <w:rFonts w:ascii="仿宋_GB2312" w:hAnsi="仿宋_GB2312" w:cs="仿宋_GB2312" w:hint="eastAsia" w:eastAsia="仿宋_GB2312"/>
          <w:kern w:val="0"/>
          <w:sz w:val="32"/>
          <w:szCs w:val="32"/>
        </w:rPr>
        <w:t xml:space="preserve"> </w:t>
      </w:r>
      <w:r>
        <w:rPr>
          <w:rFonts w:ascii="仿宋" w:hAnsi="仿宋" w:cs="仿宋" w:hint="eastAsia" w:eastAsia="仿宋"/>
          <w:color w:val="000000"/>
          <w:sz w:val="32"/>
          <w:szCs w:val="32"/>
        </w:rPr>
        <w:t>自治县人民政府生态环境保护部门对饮用水水源保护区的污染防治实施统一监督管理，履行下列职责：</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sectPr>
          <w:footerReference w:type="default" r:id="rId5"/>
          <w:footerReference w:type="first" r:id="rId6"/>
          <w:type w:val="nextPage"/>
          <w:pgSz w:w="11906" w:h="16838"/>
          <w:pgMar w:left="1587" w:right="1474" w:gutter="0" w:header="0" w:top="2098" w:footer="992" w:bottom="1984"/>
          <w:pgNumType w:fmt="decimal"/>
          <w:formProt w:val="false"/>
          <w:textDirection w:val="lrTb"/>
          <w:docGrid w:type="lines" w:linePitch="312" w:charSpace="0"/>
        </w:sectPr>
      </w:pPr>
      <w:r>
        <w:rPr>
          <w:rFonts w:ascii="仿宋" w:hAnsi="仿宋" w:cs="仿宋" w:hint="eastAsia" w:eastAsia="仿宋"/>
          <w:color w:val="000000"/>
          <w:sz w:val="32"/>
          <w:szCs w:val="32"/>
        </w:rPr>
        <w:t>（一）贯彻实施国家有关饮用水水源保护的法律法规和相关政策；</w:t>
      </w:r>
      <w:r>
        <w:br w:type="page"/>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（二）会同发展改革、公安、自然资源、住建、水利、农业、文化和旅游、卫健、林业和草原等部门编制水源地环境保护和污</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染防治规划，经自治县人民政府批准后组织实施；</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（三）会同水利、卫健等部门建立统一的饮用水资源、水环境监测预警系统，实时监测和记录水质等水环境信息；</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（四）统一发布水源地的环境污染事故、水质等环境监测信息；</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（五）依法调查处理在保护区内新建、改建、扩建排污口的违法行为；</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（六）依法调查处理影响饮用水水质的污染物排放行为和其他违法行为；</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（七）会同其他部门处理饮用水水源保护和管理的重大事项；</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（八）法律法规规定的其他职责。</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Arial" w:hint="eastAsia" w:eastAsia="黑体"/>
          <w:kern w:val="0"/>
          <w:sz w:val="32"/>
          <w:szCs w:val="32"/>
        </w:rPr>
        <w:t>第十条</w:t>
      </w:r>
      <w:r>
        <w:rPr>
          <w:rFonts w:ascii="仿宋_GB2312" w:hAnsi="仿宋_GB2312" w:cs="仿宋_GB2312" w:hint="eastAsia" w:eastAsia="仿宋_GB2312"/>
          <w:kern w:val="0"/>
          <w:sz w:val="32"/>
          <w:szCs w:val="32"/>
        </w:rPr>
        <w:t xml:space="preserve"> </w:t>
      </w:r>
      <w:r>
        <w:rPr>
          <w:rFonts w:ascii="仿宋" w:hAnsi="仿宋" w:cs="仿宋" w:hint="eastAsia" w:eastAsia="仿宋"/>
          <w:color w:val="000000"/>
          <w:sz w:val="32"/>
          <w:szCs w:val="32"/>
        </w:rPr>
        <w:t>自治县人民政府水利部门对饮用水水源保护区的水资源和水工程实施统一监督管理，履行下列职责：</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（一）会同发展改革、环境保护、住建、卫健等部门编制水源地安全保障规划，经自治县人民政府批准后组织实施；</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（二）实施保护区内的取水许可，制定并下达年度取水计划；</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（三）负责水源地的水文监测和水文信息的发布；</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sectPr>
          <w:footerReference w:type="default" r:id="rId7"/>
          <w:footerReference w:type="first" r:id="rId8"/>
          <w:type w:val="nextPage"/>
          <w:pgSz w:w="11906" w:h="16838"/>
          <w:pgMar w:left="1587" w:right="1474" w:gutter="0" w:header="0" w:top="2098" w:footer="992" w:bottom="1984"/>
          <w:pgNumType w:fmt="decimal"/>
          <w:formProt w:val="false"/>
          <w:textDirection w:val="lrTb"/>
          <w:docGrid w:type="lines" w:linePitch="312" w:charSpace="0"/>
        </w:sectPr>
      </w:pPr>
      <w:r>
        <w:rPr>
          <w:rFonts w:ascii="仿宋" w:hAnsi="仿宋" w:cs="仿宋" w:hint="eastAsia" w:eastAsia="仿宋"/>
          <w:color w:val="000000"/>
          <w:sz w:val="32"/>
          <w:szCs w:val="32"/>
        </w:rPr>
        <w:t>（四）管理和维护保护区内的水利设施并做好水土保持工作；</w:t>
      </w:r>
      <w:r>
        <w:br w:type="page"/>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color w:val="000000"/>
          <w:sz w:val="32"/>
          <w:szCs w:val="32"/>
        </w:rPr>
        <w:t>（五）合理配置水资源，枯水季节或者重大旱情等造成水量不能满足取水要求的，应当优先保证饮用水取水；</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（六）法律法规规定的其他监督管理职责。</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Arial" w:hint="eastAsia" w:eastAsia="黑体"/>
          <w:kern w:val="0"/>
          <w:sz w:val="32"/>
          <w:szCs w:val="32"/>
        </w:rPr>
        <w:t>第十一条</w:t>
      </w:r>
      <w:r>
        <w:rPr>
          <w:rFonts w:ascii="仿宋_GB2312" w:hAnsi="仿宋_GB2312" w:cs="仿宋_GB2312" w:hint="eastAsia" w:eastAsia="仿宋_GB2312"/>
          <w:kern w:val="0"/>
          <w:sz w:val="32"/>
          <w:szCs w:val="32"/>
        </w:rPr>
        <w:t xml:space="preserve"> </w:t>
      </w:r>
      <w:r>
        <w:rPr>
          <w:rFonts w:ascii="仿宋" w:hAnsi="仿宋" w:cs="仿宋" w:hint="eastAsia" w:eastAsia="仿宋"/>
          <w:color w:val="000000"/>
          <w:sz w:val="32"/>
          <w:szCs w:val="32"/>
        </w:rPr>
        <w:t>自治县人民政府林业和草原部门负责饮用水水源保护区的水源涵养林及植被的保护和管理，改善水源保护区生态环境，提高水体自净能力。</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Arial" w:hint="eastAsia" w:eastAsia="黑体"/>
          <w:kern w:val="0"/>
          <w:sz w:val="32"/>
          <w:szCs w:val="32"/>
        </w:rPr>
        <w:t>第十二条</w:t>
      </w:r>
      <w:r>
        <w:rPr>
          <w:rFonts w:ascii="仿宋_GB2312" w:hAnsi="仿宋_GB2312" w:cs="仿宋_GB2312" w:hint="eastAsia" w:eastAsia="仿宋_GB2312"/>
          <w:kern w:val="0"/>
          <w:sz w:val="32"/>
          <w:szCs w:val="32"/>
        </w:rPr>
        <w:t xml:space="preserve"> </w:t>
      </w:r>
      <w:r>
        <w:rPr>
          <w:rFonts w:ascii="仿宋" w:hAnsi="仿宋" w:cs="仿宋" w:hint="eastAsia" w:eastAsia="仿宋"/>
          <w:color w:val="000000"/>
          <w:sz w:val="32"/>
          <w:szCs w:val="32"/>
        </w:rPr>
        <w:t>自治县人民政府自然资源部门负责饮用水水源保护区自然资源开发利用的监督管理，监督管理地下水过量开采及引发的地面沉降等地质问题，严格执行水源保护区内的国土空间用途管制政策。</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Arial" w:hint="eastAsia" w:eastAsia="黑体"/>
          <w:kern w:val="0"/>
          <w:sz w:val="32"/>
          <w:szCs w:val="32"/>
        </w:rPr>
        <w:t>第十三条</w:t>
      </w:r>
      <w:r>
        <w:rPr>
          <w:rFonts w:ascii="仿宋_GB2312" w:hAnsi="仿宋_GB2312" w:cs="仿宋_GB2312" w:hint="eastAsia" w:eastAsia="仿宋_GB2312"/>
          <w:kern w:val="0"/>
          <w:sz w:val="32"/>
          <w:szCs w:val="32"/>
        </w:rPr>
        <w:t xml:space="preserve"> </w:t>
      </w:r>
      <w:r>
        <w:rPr>
          <w:rFonts w:ascii="仿宋" w:hAnsi="仿宋" w:cs="仿宋" w:hint="eastAsia" w:eastAsia="仿宋"/>
          <w:color w:val="000000"/>
          <w:sz w:val="32"/>
          <w:szCs w:val="32"/>
        </w:rPr>
        <w:t>自治县人民政府公安部门负责饮用水水源保护区内危险化学品运输车辆的道路交通安全管理。</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Arial" w:hint="eastAsia" w:eastAsia="黑体"/>
          <w:kern w:val="0"/>
          <w:sz w:val="32"/>
          <w:szCs w:val="32"/>
        </w:rPr>
        <w:t>第十四条</w:t>
      </w:r>
      <w:r>
        <w:rPr>
          <w:rFonts w:ascii="仿宋_GB2312" w:hAnsi="仿宋_GB2312" w:cs="仿宋_GB2312" w:hint="eastAsia" w:eastAsia="仿宋_GB2312"/>
          <w:kern w:val="0"/>
          <w:sz w:val="32"/>
          <w:szCs w:val="32"/>
        </w:rPr>
        <w:t xml:space="preserve"> </w:t>
      </w:r>
      <w:r>
        <w:rPr>
          <w:rFonts w:ascii="仿宋" w:hAnsi="仿宋" w:cs="仿宋" w:hint="eastAsia" w:eastAsia="仿宋"/>
          <w:color w:val="000000"/>
          <w:sz w:val="32"/>
          <w:szCs w:val="32"/>
        </w:rPr>
        <w:t>自治县人民政府</w:t>
      </w:r>
      <w:r>
        <w:rPr>
          <w:rFonts w:ascii="仿宋" w:hAnsi="仿宋" w:cs="仿宋" w:hint="eastAsia" w:eastAsia="仿宋"/>
          <w:sz w:val="32"/>
          <w:szCs w:val="32"/>
        </w:rPr>
        <w:t>文化和旅游</w:t>
      </w:r>
      <w:r>
        <w:rPr>
          <w:rFonts w:ascii="仿宋" w:hAnsi="仿宋" w:cs="仿宋" w:hint="eastAsia" w:eastAsia="仿宋"/>
          <w:color w:val="000000"/>
          <w:sz w:val="32"/>
          <w:szCs w:val="32"/>
        </w:rPr>
        <w:t>部门制定旅游发展规划应当严格遵守生态保护红线，并负责饮用水水源保护区内旅游活动的环境保护工作。</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Arial" w:hint="eastAsia" w:eastAsia="黑体"/>
          <w:kern w:val="0"/>
          <w:sz w:val="32"/>
          <w:szCs w:val="32"/>
        </w:rPr>
        <w:t>第十五条</w:t>
      </w:r>
      <w:r>
        <w:rPr>
          <w:rFonts w:ascii="仿宋_GB2312" w:hAnsi="仿宋_GB2312" w:cs="仿宋_GB2312" w:hint="eastAsia" w:eastAsia="仿宋_GB2312"/>
          <w:kern w:val="0"/>
          <w:sz w:val="32"/>
          <w:szCs w:val="32"/>
        </w:rPr>
        <w:t xml:space="preserve"> </w:t>
      </w:r>
      <w:r>
        <w:rPr>
          <w:rFonts w:ascii="仿宋" w:hAnsi="仿宋" w:cs="仿宋" w:hint="eastAsia" w:eastAsia="仿宋"/>
          <w:color w:val="000000"/>
          <w:sz w:val="32"/>
          <w:szCs w:val="32"/>
        </w:rPr>
        <w:t>乡镇人民政府应当配合自治县人民政府相关部门做好饮用水水源保护区的日常巡防和基础设施管护工作。</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村（居）民委员会应当做好饮用水水源地生态环境保护的宣传教育工作，引导和监督村（居）民严格落实各项保护政策。</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kinsoku w:val="true"/>
        <w:overflowPunct w:val="true"/>
        <w:autoSpaceDE w:val="true"/>
        <w:bidi w:val="0"/>
        <w:snapToGrid w:val="true"/>
        <w:spacing w:lineRule="exact" w:line="560" w:before="100" w:after="100"/>
        <w:jc w:val="center"/>
        <w:textAlignment w:val="auto"/>
        <w:rPr>
          <w:rFonts w:ascii="黑体" w:hAnsi="黑体" w:eastAsia="黑体" w:cs="黑体" w:hint="eastAsia"/>
          <w:b/>
          <w:bCs/>
          <w:color w:val="000000"/>
          <w:sz w:val="32"/>
          <w:szCs w:val="32"/>
        </w:rPr>
      </w:pPr>
      <w:r>
        <w:rPr>
          <w:rFonts w:ascii="宋体" w:hAnsi="宋体" w:cs="宋体" w:hint="eastAsia"/>
          <w:b/>
          <w:bCs/>
          <w:color w:val="000000"/>
          <w:sz w:val="32"/>
          <w:szCs w:val="32"/>
        </w:rPr>
        <w:t>第三章</w:t>
      </w:r>
      <w:r>
        <w:rPr>
          <w:rFonts w:ascii="黑体" w:hAnsi="黑体" w:cs="黑体" w:hint="eastAsia" w:eastAsia="黑体"/>
          <w:b/>
          <w:bCs/>
          <w:color w:val="000000"/>
          <w:sz w:val="32"/>
          <w:szCs w:val="32"/>
        </w:rPr>
        <w:t xml:space="preserve"> 保护措施</w:t>
      </w:r>
    </w:p>
    <w:p>
      <w:pPr>
        <w:pStyle w:val="Normal"/>
        <w:keepNext w:val="false"/>
        <w:keepLines w:val="false"/>
        <w:pageBreakBefore w:val="false"/>
        <w:kinsoku w:val="true"/>
        <w:overflowPunct w:val="true"/>
        <w:autoSpaceDE w:val="true"/>
        <w:bidi w:val="0"/>
        <w:snapToGrid w:val="true"/>
        <w:spacing w:lineRule="exact" w:line="560" w:before="100" w:after="100"/>
        <w:jc w:val="center"/>
        <w:textAlignment w:val="auto"/>
        <w:rPr>
          <w:rFonts w:ascii="黑体" w:hAnsi="黑体" w:eastAsia="黑体" w:cs="黑体" w:hint="eastAsia"/>
          <w:b/>
          <w:bCs/>
          <w:color w:val="000000"/>
          <w:sz w:val="32"/>
          <w:szCs w:val="32"/>
        </w:rPr>
        <w:sectPr>
          <w:footerReference w:type="default" r:id="rId9"/>
          <w:footerReference w:type="first" r:id="rId10"/>
          <w:type w:val="nextPage"/>
          <w:pgSz w:w="11906" w:h="16838"/>
          <w:pgMar w:left="1587" w:right="1474" w:gutter="0" w:header="0" w:top="2098" w:footer="992" w:bottom="1984"/>
          <w:pgNumType w:fmt="decimal"/>
          <w:formProt w:val="false"/>
          <w:textDirection w:val="lrTb"/>
          <w:docGrid w:type="lines" w:linePitch="312" w:charSpace="0"/>
        </w:sectPr>
      </w:pPr>
      <w:r>
        <w:rPr>
          <w:rFonts w:eastAsia="黑体" w:cs="黑体" w:hint="eastAsia" w:ascii="黑体" w:hAnsi="黑体"/>
          <w:b/>
          <w:bCs/>
          <w:color w:val="000000"/>
          <w:sz w:val="32"/>
          <w:szCs w:val="32"/>
        </w:rPr>
      </w:r>
      <w:r>
        <w:br w:type="page"/>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kern w:val="0"/>
          <w:sz w:val="32"/>
          <w:szCs w:val="32"/>
        </w:rPr>
      </w:pPr>
      <w:r>
        <w:rPr>
          <w:rFonts w:ascii="黑体" w:hAnsi="黑体" w:cs="Arial" w:hint="eastAsia" w:eastAsia="黑体"/>
          <w:kern w:val="0"/>
          <w:sz w:val="32"/>
          <w:szCs w:val="32"/>
        </w:rPr>
        <w:t>第十六条</w:t>
      </w:r>
      <w:r>
        <w:rPr>
          <w:rFonts w:ascii="仿宋_GB2312" w:hAnsi="仿宋_GB2312" w:cs="仿宋_GB2312" w:hint="eastAsia" w:eastAsia="仿宋_GB2312"/>
          <w:kern w:val="0"/>
          <w:sz w:val="32"/>
          <w:szCs w:val="32"/>
        </w:rPr>
        <w:t xml:space="preserve"> </w:t>
      </w:r>
      <w:r>
        <w:rPr>
          <w:rFonts w:ascii="仿宋" w:hAnsi="仿宋" w:cs="仿宋" w:hint="eastAsia" w:eastAsia="仿宋"/>
          <w:color w:val="000000"/>
          <w:kern w:val="0"/>
          <w:sz w:val="32"/>
          <w:szCs w:val="32"/>
        </w:rPr>
        <w:t>自治县人民政府应当组织相关部门在饮用水水源保护区的边界设立地理界标和警示标志。在一级保护区外围应当</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设置隔离防护设施，实行封闭式管理。</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任何单位和个人不得损毁、涂改或者擅自移动保护区隔离防</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护设施、地理界标和警示标志。</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kern w:val="0"/>
          <w:sz w:val="32"/>
          <w:szCs w:val="32"/>
        </w:rPr>
      </w:pPr>
      <w:r>
        <w:rPr>
          <w:rFonts w:ascii="黑体" w:hAnsi="黑体" w:cs="Arial" w:hint="eastAsia" w:eastAsia="黑体"/>
          <w:kern w:val="0"/>
          <w:sz w:val="32"/>
          <w:szCs w:val="32"/>
        </w:rPr>
        <w:t>第十七条</w:t>
      </w:r>
      <w:r>
        <w:rPr>
          <w:rFonts w:ascii="仿宋_GB2312" w:hAnsi="仿宋_GB2312" w:cs="仿宋_GB2312" w:hint="eastAsia" w:eastAsia="仿宋_GB2312"/>
          <w:kern w:val="0"/>
          <w:sz w:val="32"/>
          <w:szCs w:val="32"/>
        </w:rPr>
        <w:t xml:space="preserve"> </w:t>
      </w:r>
      <w:r>
        <w:rPr>
          <w:rFonts w:ascii="仿宋" w:hAnsi="仿宋" w:cs="仿宋" w:hint="eastAsia" w:eastAsia="仿宋"/>
          <w:color w:val="000000"/>
          <w:kern w:val="0"/>
          <w:sz w:val="32"/>
          <w:szCs w:val="32"/>
        </w:rPr>
        <w:t>在饮用水水源保护区内，禁止设置排污口。</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Arial" w:hint="eastAsia" w:eastAsia="黑体"/>
          <w:kern w:val="0"/>
          <w:sz w:val="32"/>
          <w:szCs w:val="32"/>
        </w:rPr>
        <w:t>第十八条</w:t>
      </w:r>
      <w:r>
        <w:rPr>
          <w:rFonts w:ascii="仿宋_GB2312" w:hAnsi="仿宋_GB2312" w:cs="仿宋_GB2312" w:hint="eastAsia" w:eastAsia="仿宋_GB2312"/>
          <w:kern w:val="0"/>
          <w:sz w:val="32"/>
          <w:szCs w:val="32"/>
        </w:rPr>
        <w:t xml:space="preserve"> </w:t>
      </w:r>
      <w:bookmarkStart w:id="7" w:name="_Hlk6459268"/>
      <w:r>
        <w:rPr>
          <w:rFonts w:ascii="仿宋" w:hAnsi="仿宋" w:cs="仿宋" w:hint="eastAsia" w:eastAsia="仿宋"/>
          <w:color w:val="000000"/>
          <w:sz w:val="32"/>
          <w:szCs w:val="32"/>
        </w:rPr>
        <w:t>在一级保护区内</w:t>
      </w:r>
      <w:bookmarkEnd w:id="7"/>
      <w:r>
        <w:rPr>
          <w:rFonts w:ascii="仿宋" w:hAnsi="仿宋" w:cs="仿宋" w:hint="eastAsia" w:eastAsia="仿宋"/>
          <w:color w:val="000000"/>
          <w:sz w:val="32"/>
          <w:szCs w:val="32"/>
        </w:rPr>
        <w:t>禁止从事下列行为：</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（一）新建、改建、扩建与供水设施和水源保护无关的建设项目；</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（二）网箱养殖；</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bookmarkStart w:id="8" w:name="_Hlk533863399"/>
      <w:r>
        <w:rPr>
          <w:rFonts w:ascii="仿宋" w:hAnsi="仿宋" w:cs="仿宋" w:hint="eastAsia" w:eastAsia="仿宋"/>
          <w:color w:val="000000"/>
          <w:sz w:val="32"/>
          <w:szCs w:val="32"/>
        </w:rPr>
        <w:t>（三）</w:t>
      </w:r>
      <w:bookmarkEnd w:id="8"/>
      <w:r>
        <w:rPr>
          <w:rFonts w:ascii="仿宋" w:hAnsi="仿宋" w:cs="仿宋" w:hint="eastAsia" w:eastAsia="仿宋"/>
          <w:color w:val="000000"/>
          <w:sz w:val="32"/>
          <w:szCs w:val="32"/>
        </w:rPr>
        <w:t>家畜家禽养殖；</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（四）旅游、游泳、垂钓、放生；</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（五）放牧、开矿、</w:t>
      </w:r>
      <w:r>
        <w:rPr>
          <w:rFonts w:ascii="仿宋" w:hAnsi="仿宋" w:cs="仿宋" w:hint="eastAsia" w:eastAsia="仿宋"/>
          <w:sz w:val="32"/>
          <w:szCs w:val="32"/>
        </w:rPr>
        <w:t>采石、采砂、取土</w:t>
      </w:r>
      <w:r>
        <w:rPr>
          <w:rFonts w:ascii="仿宋" w:hAnsi="仿宋" w:cs="仿宋" w:hint="eastAsia" w:eastAsia="仿宋"/>
          <w:color w:val="000000"/>
          <w:sz w:val="32"/>
          <w:szCs w:val="32"/>
        </w:rPr>
        <w:t>；</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kern w:val="0"/>
          <w:sz w:val="32"/>
          <w:szCs w:val="32"/>
        </w:rPr>
      </w:pPr>
      <w:r>
        <w:rPr>
          <w:rFonts w:ascii="仿宋" w:hAnsi="仿宋" w:cs="仿宋" w:hint="eastAsia" w:eastAsia="仿宋"/>
          <w:color w:val="000000"/>
          <w:sz w:val="32"/>
          <w:szCs w:val="32"/>
        </w:rPr>
        <w:t>（六）</w:t>
      </w:r>
      <w:r>
        <w:rPr>
          <w:rFonts w:ascii="仿宋" w:hAnsi="仿宋" w:cs="仿宋" w:hint="eastAsia" w:eastAsia="仿宋"/>
          <w:color w:val="000000"/>
          <w:kern w:val="0"/>
          <w:sz w:val="32"/>
          <w:szCs w:val="32"/>
        </w:rPr>
        <w:t>其他可能对一级保护区造成污染的行为。</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kern w:val="0"/>
          <w:sz w:val="32"/>
          <w:szCs w:val="32"/>
        </w:rPr>
      </w:pPr>
      <w:bookmarkStart w:id="9" w:name="_Hlk6537326"/>
      <w:r>
        <w:rPr>
          <w:rFonts w:ascii="仿宋" w:hAnsi="仿宋" w:cs="仿宋" w:hint="eastAsia" w:eastAsia="仿宋"/>
          <w:kern w:val="0"/>
          <w:sz w:val="32"/>
          <w:szCs w:val="32"/>
        </w:rPr>
        <w:t>在一级保护区内已建成的与供水设施和保护水源无关的建设项目，</w:t>
      </w:r>
      <w:bookmarkStart w:id="10" w:name="_Hlk6459702"/>
      <w:r>
        <w:rPr>
          <w:rFonts w:ascii="仿宋" w:hAnsi="仿宋" w:cs="仿宋" w:hint="eastAsia" w:eastAsia="仿宋"/>
          <w:kern w:val="0"/>
          <w:sz w:val="32"/>
          <w:szCs w:val="32"/>
        </w:rPr>
        <w:t>由自治县人民政府责令拆除或者关闭。</w:t>
      </w:r>
      <w:bookmarkEnd w:id="10"/>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b/>
          <w:bCs/>
          <w:color w:val="000000"/>
          <w:kern w:val="0"/>
          <w:sz w:val="32"/>
          <w:szCs w:val="32"/>
        </w:rPr>
      </w:pPr>
      <w:bookmarkEnd w:id="9"/>
      <w:r>
        <w:rPr>
          <w:rFonts w:ascii="黑体" w:hAnsi="黑体" w:cs="Arial" w:hint="eastAsia" w:eastAsia="黑体"/>
          <w:kern w:val="0"/>
          <w:sz w:val="32"/>
          <w:szCs w:val="32"/>
        </w:rPr>
        <w:t>第十九条</w:t>
      </w:r>
      <w:r>
        <w:rPr>
          <w:rFonts w:ascii="仿宋_GB2312" w:hAnsi="仿宋_GB2312" w:cs="仿宋_GB2312" w:hint="eastAsia" w:eastAsia="仿宋_GB2312"/>
          <w:kern w:val="0"/>
          <w:sz w:val="32"/>
          <w:szCs w:val="32"/>
        </w:rPr>
        <w:t xml:space="preserve"> </w:t>
      </w:r>
      <w:r>
        <w:rPr>
          <w:rFonts w:ascii="仿宋" w:hAnsi="仿宋" w:cs="仿宋" w:hint="eastAsia" w:eastAsia="仿宋"/>
          <w:color w:val="000000"/>
          <w:kern w:val="0"/>
          <w:sz w:val="32"/>
          <w:szCs w:val="32"/>
        </w:rPr>
        <w:t>在二级保护区内禁止从事下列行为：</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（一）新建、改建、扩建排放污染物的建设项目；</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（二）铺设输送污水、油类、有毒有害物品的管道；</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（三）设置经营性餐饮、娱乐设施和存放有毒有害物品的仓库、货栈；</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kern w:val="0"/>
          <w:sz w:val="32"/>
          <w:szCs w:val="32"/>
        </w:rPr>
        <w:sectPr>
          <w:footerReference w:type="default" r:id="rId11"/>
          <w:footerReference w:type="first" r:id="rId12"/>
          <w:type w:val="nextPage"/>
          <w:pgSz w:w="11906" w:h="16838"/>
          <w:pgMar w:left="1587" w:right="1474" w:gutter="0" w:header="0" w:top="2098" w:footer="992" w:bottom="1984"/>
          <w:pgNumType w:fmt="decimal"/>
          <w:formProt w:val="false"/>
          <w:textDirection w:val="lrTb"/>
          <w:docGrid w:type="lines" w:linePitch="312" w:charSpace="0"/>
        </w:sectPr>
      </w:pPr>
      <w:r>
        <w:rPr>
          <w:rFonts w:ascii="仿宋" w:hAnsi="仿宋" w:cs="仿宋" w:hint="eastAsia" w:eastAsia="仿宋"/>
          <w:color w:val="000000"/>
          <w:kern w:val="0"/>
          <w:sz w:val="32"/>
          <w:szCs w:val="32"/>
        </w:rPr>
        <w:t>（四）使用炸鱼、毒鱼、电鱼等破坏渔业资源的方法进行捕</w:t>
      </w:r>
      <w:r>
        <w:br w:type="page"/>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捞，或者从事其他非法捕捞行为；</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（五）建墓、垦植、烧荒；</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（六）丢弃或掩埋动物尸体；</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（七）其他可能对水源二级保护区造成污染的行为在二级保护区内禁止的行为在一级保护区内同时禁止。</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kern w:val="0"/>
          <w:sz w:val="32"/>
          <w:szCs w:val="32"/>
        </w:rPr>
      </w:pPr>
      <w:bookmarkStart w:id="11" w:name="_Hlk6537397"/>
      <w:r>
        <w:rPr>
          <w:rFonts w:ascii="仿宋" w:hAnsi="仿宋" w:cs="仿宋" w:hint="eastAsia" w:eastAsia="仿宋"/>
          <w:kern w:val="0"/>
          <w:sz w:val="32"/>
          <w:szCs w:val="32"/>
        </w:rPr>
        <w:t>在二级保护区内已经建成的排放污染物的建设项目，由自治县人民政府责令拆除或者关闭。</w:t>
      </w:r>
      <w:bookmarkEnd w:id="11"/>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Arial" w:hint="eastAsia" w:eastAsia="黑体"/>
          <w:kern w:val="0"/>
          <w:sz w:val="32"/>
          <w:szCs w:val="32"/>
        </w:rPr>
        <w:t>第二十条</w:t>
      </w:r>
      <w:r>
        <w:rPr>
          <w:rFonts w:ascii="仿宋_GB2312" w:hAnsi="仿宋_GB2312" w:cs="仿宋_GB2312" w:hint="eastAsia" w:eastAsia="仿宋_GB2312"/>
          <w:kern w:val="0"/>
          <w:sz w:val="32"/>
          <w:szCs w:val="32"/>
        </w:rPr>
        <w:t xml:space="preserve"> </w:t>
      </w:r>
      <w:r>
        <w:rPr>
          <w:rFonts w:ascii="仿宋" w:hAnsi="仿宋" w:cs="仿宋" w:hint="eastAsia" w:eastAsia="仿宋"/>
          <w:color w:val="000000"/>
          <w:sz w:val="32"/>
          <w:szCs w:val="32"/>
        </w:rPr>
        <w:t>在准保护区内禁止从事下列行为：</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（一）新建、扩建对水体污染严重的建设项目；改建建设项目，不得增加排污量。</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（二）倾倒、填埋生产、生活垃圾以及其他有毒有害污染物和废弃物；</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 xml:space="preserve">（三）无防护措施运输强酸、强碱、毒性液体、有机溶剂、石油类、高毒高残留农药等危险物品的车辆进入； </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（四）清洗装储过油类或者有毒有害污染物的车辆和器具；</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（五）使用剧毒、高残留农药和含磷洗涤剂；</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（六）毁坏护岸林、涵养林、水源保护植被；</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（七）其他可能对饮用水水源地准保护区造成污染的行为。</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在准保护区内禁止的行为，在一级、二级保护区内同时禁止。</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sectPr>
          <w:footerReference w:type="default" r:id="rId13"/>
          <w:footerReference w:type="first" r:id="rId14"/>
          <w:type w:val="nextPage"/>
          <w:pgSz w:w="11906" w:h="16838"/>
          <w:pgMar w:left="1587" w:right="1474" w:gutter="0" w:header="0" w:top="2098" w:footer="992" w:bottom="1984"/>
          <w:pgNumType w:fmt="decimal"/>
          <w:formProt w:val="false"/>
          <w:textDirection w:val="lrTb"/>
          <w:docGrid w:type="lines" w:linePitch="312" w:charSpace="0"/>
        </w:sectPr>
      </w:pPr>
      <w:r>
        <w:rPr>
          <w:rFonts w:ascii="黑体" w:hAnsi="黑体" w:cs="Arial" w:hint="eastAsia" w:eastAsia="黑体"/>
          <w:kern w:val="0"/>
          <w:sz w:val="32"/>
          <w:szCs w:val="32"/>
        </w:rPr>
        <w:t>第二十一条</w:t>
      </w:r>
      <w:r>
        <w:rPr>
          <w:rFonts w:ascii="仿宋_GB2312" w:hAnsi="仿宋_GB2312" w:cs="仿宋_GB2312" w:hint="eastAsia" w:eastAsia="仿宋_GB2312"/>
          <w:kern w:val="0"/>
          <w:sz w:val="32"/>
          <w:szCs w:val="32"/>
        </w:rPr>
        <w:t xml:space="preserve"> </w:t>
      </w:r>
      <w:r>
        <w:rPr>
          <w:rFonts w:ascii="仿宋" w:hAnsi="仿宋" w:cs="仿宋" w:hint="eastAsia" w:eastAsia="仿宋"/>
          <w:sz w:val="32"/>
          <w:szCs w:val="32"/>
        </w:rPr>
        <w:t>新建公路、铁路、桥梁等项目</w:t>
      </w:r>
      <w:r>
        <w:rPr>
          <w:rFonts w:eastAsia="仿宋" w:cs="仿宋" w:hint="eastAsia" w:ascii="仿宋" w:hAnsi="仿宋"/>
          <w:sz w:val="32"/>
          <w:szCs w:val="32"/>
        </w:rPr>
        <w:t>,</w:t>
      </w:r>
      <w:r>
        <w:rPr>
          <w:rFonts w:ascii="仿宋" w:hAnsi="仿宋" w:cs="仿宋" w:hint="eastAsia" w:eastAsia="仿宋"/>
          <w:sz w:val="32"/>
          <w:szCs w:val="32"/>
        </w:rPr>
        <w:t>禁止穿越饮用水水源一级保护区，因工程条件和自然因素限制</w:t>
      </w:r>
      <w:r>
        <w:rPr>
          <w:rFonts w:eastAsia="仿宋" w:cs="仿宋" w:hint="eastAsia" w:ascii="仿宋" w:hAnsi="仿宋"/>
          <w:sz w:val="32"/>
          <w:szCs w:val="32"/>
        </w:rPr>
        <w:t>,</w:t>
      </w:r>
      <w:r>
        <w:rPr>
          <w:rFonts w:ascii="仿宋" w:hAnsi="仿宋" w:cs="仿宋" w:hint="eastAsia" w:eastAsia="仿宋"/>
          <w:sz w:val="32"/>
          <w:szCs w:val="32"/>
        </w:rPr>
        <w:t>确需穿越饮用水水源二级保护区或准保护区的，应当经吉林省人民政府批准，建</w:t>
      </w:r>
      <w:r>
        <w:br w:type="page"/>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 w:hAnsi="仿宋" w:eastAsia="仿宋" w:cs="仿宋" w:hint="eastAsia"/>
          <w:sz w:val="32"/>
          <w:szCs w:val="32"/>
        </w:rPr>
      </w:pPr>
      <w:r>
        <w:rPr>
          <w:rFonts w:ascii="仿宋" w:hAnsi="仿宋" w:cs="仿宋" w:hint="eastAsia" w:eastAsia="仿宋"/>
          <w:sz w:val="32"/>
          <w:szCs w:val="32"/>
        </w:rPr>
        <w:t>设单位制定并落实环境风险防范措施。</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Arial" w:hint="eastAsia" w:eastAsia="黑体"/>
          <w:kern w:val="0"/>
          <w:sz w:val="32"/>
          <w:szCs w:val="32"/>
        </w:rPr>
        <w:t>第二十二条</w:t>
      </w:r>
      <w:r>
        <w:rPr>
          <w:rFonts w:ascii="仿宋_GB2312" w:hAnsi="仿宋_GB2312" w:cs="仿宋_GB2312" w:hint="eastAsia" w:eastAsia="仿宋_GB2312"/>
          <w:kern w:val="0"/>
          <w:sz w:val="32"/>
          <w:szCs w:val="32"/>
        </w:rPr>
        <w:t xml:space="preserve"> </w:t>
      </w:r>
      <w:r>
        <w:rPr>
          <w:rFonts w:ascii="仿宋" w:hAnsi="仿宋" w:cs="仿宋" w:hint="eastAsia" w:eastAsia="仿宋"/>
          <w:color w:val="000000"/>
          <w:sz w:val="32"/>
          <w:szCs w:val="32"/>
        </w:rPr>
        <w:t>自治县人民政府生态环境保护部门、水利部门及供水单位，应当建立饮用水水源保护区联合巡查制度。在巡查过程中发现影响饮用水水源安全的行为，应当立即制止，并依法</w:t>
      </w:r>
      <w:bookmarkStart w:id="12" w:name="_Hlk533887374"/>
      <w:r>
        <w:rPr>
          <w:rFonts w:ascii="仿宋" w:hAnsi="仿宋" w:cs="仿宋" w:hint="eastAsia" w:eastAsia="仿宋"/>
          <w:color w:val="000000"/>
          <w:sz w:val="32"/>
          <w:szCs w:val="32"/>
        </w:rPr>
        <w:t>予以处理。</w:t>
      </w:r>
      <w:bookmarkEnd w:id="12"/>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kern w:val="0"/>
          <w:sz w:val="32"/>
          <w:szCs w:val="32"/>
        </w:rPr>
      </w:pPr>
      <w:r>
        <w:rPr>
          <w:rFonts w:ascii="黑体" w:hAnsi="黑体" w:cs="Arial" w:hint="eastAsia" w:eastAsia="黑体"/>
          <w:kern w:val="0"/>
          <w:sz w:val="32"/>
          <w:szCs w:val="32"/>
        </w:rPr>
        <w:t>第二十三条</w:t>
      </w:r>
      <w:r>
        <w:rPr>
          <w:rFonts w:ascii="仿宋_GB2312" w:hAnsi="仿宋_GB2312" w:cs="仿宋_GB2312" w:hint="eastAsia" w:eastAsia="仿宋_GB2312"/>
          <w:kern w:val="0"/>
          <w:sz w:val="32"/>
          <w:szCs w:val="32"/>
        </w:rPr>
        <w:t xml:space="preserve"> </w:t>
      </w:r>
      <w:r>
        <w:rPr>
          <w:rFonts w:ascii="仿宋" w:hAnsi="仿宋" w:cs="仿宋" w:hint="eastAsia" w:eastAsia="仿宋"/>
          <w:color w:val="000000"/>
          <w:kern w:val="0"/>
          <w:sz w:val="32"/>
          <w:szCs w:val="32"/>
        </w:rPr>
        <w:t>自治县人民政府以及饮用水水源保护区所在的乡镇人民政府应当制定水源保护区河长制实施方案，明确规定各级河长的监管职责、监管程序和考核机制等。</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各级河长应当做好饮用水水源保护、水域岸线管理、水污染防治、水环境治理等工作。</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kern w:val="0"/>
          <w:sz w:val="32"/>
          <w:szCs w:val="32"/>
        </w:rPr>
      </w:pPr>
      <w:r>
        <w:rPr>
          <w:rFonts w:ascii="黑体" w:hAnsi="黑体" w:cs="Arial" w:hint="eastAsia" w:eastAsia="黑体"/>
          <w:kern w:val="0"/>
          <w:sz w:val="32"/>
          <w:szCs w:val="32"/>
        </w:rPr>
        <w:t>第二十四条</w:t>
      </w:r>
      <w:r>
        <w:rPr>
          <w:rFonts w:ascii="仿宋_GB2312" w:hAnsi="仿宋_GB2312" w:cs="仿宋_GB2312" w:hint="eastAsia" w:eastAsia="仿宋_GB2312"/>
          <w:kern w:val="0"/>
          <w:sz w:val="32"/>
          <w:szCs w:val="32"/>
        </w:rPr>
        <w:t xml:space="preserve"> </w:t>
      </w:r>
      <w:r>
        <w:rPr>
          <w:rFonts w:ascii="仿宋" w:hAnsi="仿宋" w:cs="仿宋" w:hint="eastAsia" w:eastAsia="仿宋"/>
          <w:color w:val="000000"/>
          <w:kern w:val="0"/>
          <w:sz w:val="32"/>
          <w:szCs w:val="32"/>
        </w:rPr>
        <w:t>自治县人民政府农业部门应当按照国家化肥、农药使用的有关规定，指导农业生产者科学使用化肥、农药，推广使用高效、低毒、低残留的农药。</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kern w:val="0"/>
          <w:sz w:val="32"/>
          <w:szCs w:val="32"/>
        </w:rPr>
      </w:pPr>
      <w:bookmarkStart w:id="13" w:name="_Hlk533887299"/>
      <w:r>
        <w:rPr>
          <w:rFonts w:ascii="仿宋" w:hAnsi="仿宋" w:cs="仿宋" w:hint="eastAsia" w:eastAsia="仿宋"/>
          <w:color w:val="000000"/>
          <w:kern w:val="0"/>
          <w:sz w:val="32"/>
          <w:szCs w:val="32"/>
        </w:rPr>
        <w:t>自治县人民政府林业和草原部门应当推广无公害林业病虫害防治技术，加强对水源保护区内护岸林、水源涵养林的保护。</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kern w:val="0"/>
          <w:sz w:val="32"/>
          <w:szCs w:val="32"/>
        </w:rPr>
      </w:pPr>
      <w:bookmarkEnd w:id="13"/>
      <w:r>
        <w:rPr>
          <w:rFonts w:ascii="仿宋" w:hAnsi="仿宋" w:cs="仿宋" w:hint="eastAsia" w:eastAsia="仿宋"/>
          <w:color w:val="000000"/>
          <w:kern w:val="0"/>
          <w:sz w:val="32"/>
          <w:szCs w:val="32"/>
        </w:rPr>
        <w:t>自治县人民政府住建部门应当统筹推进城乡垃圾分类管理、实行生活垃圾无害化处理，完善生活污水处理设施，防止生活垃圾、生活污水污染饮用水水源。</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kern w:val="0"/>
          <w:sz w:val="32"/>
          <w:szCs w:val="32"/>
        </w:rPr>
      </w:pPr>
      <w:r>
        <w:rPr>
          <w:rFonts w:ascii="黑体" w:hAnsi="黑体" w:cs="Arial" w:hint="eastAsia" w:eastAsia="黑体"/>
          <w:kern w:val="0"/>
          <w:sz w:val="32"/>
          <w:szCs w:val="32"/>
        </w:rPr>
        <w:t>第二十五条</w:t>
      </w:r>
      <w:r>
        <w:rPr>
          <w:rFonts w:ascii="仿宋_GB2312" w:hAnsi="仿宋_GB2312" w:cs="仿宋_GB2312" w:hint="eastAsia" w:eastAsia="仿宋_GB2312"/>
          <w:kern w:val="0"/>
          <w:sz w:val="32"/>
          <w:szCs w:val="32"/>
        </w:rPr>
        <w:t xml:space="preserve"> </w:t>
      </w:r>
      <w:r>
        <w:rPr>
          <w:rFonts w:ascii="仿宋" w:hAnsi="仿宋" w:cs="仿宋" w:hint="eastAsia" w:eastAsia="仿宋"/>
          <w:color w:val="000000"/>
          <w:kern w:val="0"/>
          <w:sz w:val="32"/>
          <w:szCs w:val="32"/>
        </w:rPr>
        <w:t>自治县人民政府生态环境保护部门应当每季度向社会公布饮用水水源地水质监测数据与饮用水</w:t>
      </w:r>
      <w:r>
        <w:rPr>
          <w:rFonts w:ascii="仿宋" w:hAnsi="仿宋" w:cs="仿宋" w:hint="eastAsia" w:eastAsia="仿宋"/>
          <w:color w:val="000000"/>
          <w:sz w:val="32"/>
          <w:szCs w:val="32"/>
        </w:rPr>
        <w:t>安全状况信息</w:t>
      </w:r>
      <w:r>
        <w:rPr>
          <w:rFonts w:ascii="仿宋" w:hAnsi="仿宋" w:cs="仿宋" w:hint="eastAsia" w:eastAsia="仿宋"/>
          <w:color w:val="000000"/>
          <w:kern w:val="0"/>
          <w:sz w:val="32"/>
          <w:szCs w:val="32"/>
        </w:rPr>
        <w:t>。</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kern w:val="0"/>
          <w:sz w:val="32"/>
          <w:szCs w:val="32"/>
        </w:rPr>
        <w:sectPr>
          <w:footerReference w:type="default" r:id="rId15"/>
          <w:footerReference w:type="first" r:id="rId16"/>
          <w:type w:val="nextPage"/>
          <w:pgSz w:w="11906" w:h="16838"/>
          <w:pgMar w:left="1587" w:right="1474" w:gutter="0" w:header="0" w:top="2098" w:footer="992" w:bottom="1984"/>
          <w:pgNumType w:fmt="decimal"/>
          <w:formProt w:val="false"/>
          <w:textDirection w:val="lrTb"/>
          <w:docGrid w:type="lines" w:linePitch="312" w:charSpace="0"/>
        </w:sectPr>
      </w:pPr>
      <w:r>
        <w:rPr>
          <w:rFonts w:ascii="黑体" w:hAnsi="黑体" w:cs="Arial" w:hint="eastAsia" w:eastAsia="黑体"/>
          <w:kern w:val="0"/>
          <w:sz w:val="32"/>
          <w:szCs w:val="32"/>
        </w:rPr>
        <w:t>第二十六条</w:t>
      </w:r>
      <w:r>
        <w:rPr>
          <w:rFonts w:ascii="仿宋_GB2312" w:hAnsi="仿宋_GB2312" w:cs="仿宋_GB2312" w:hint="eastAsia" w:eastAsia="仿宋_GB2312"/>
          <w:kern w:val="0"/>
          <w:sz w:val="32"/>
          <w:szCs w:val="32"/>
        </w:rPr>
        <w:t xml:space="preserve"> </w:t>
      </w:r>
      <w:r>
        <w:rPr>
          <w:rFonts w:ascii="仿宋" w:hAnsi="仿宋" w:cs="仿宋" w:hint="eastAsia" w:eastAsia="仿宋"/>
          <w:color w:val="000000"/>
          <w:kern w:val="0"/>
          <w:sz w:val="32"/>
          <w:szCs w:val="32"/>
        </w:rPr>
        <w:t>自治县人民政府及相关部门应当定期组织开展饮用水水源保护的宣传教育活动，普及相关法律法规及科学知</w:t>
      </w:r>
      <w:r>
        <w:br w:type="page"/>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识，提高公众参与饮用水水源保护的意识和能力。</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新闻媒体、社会组织及学校应当加强对饮用水水源保护的宣传工作。</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Arial" w:hint="eastAsia" w:eastAsia="黑体"/>
          <w:kern w:val="0"/>
          <w:sz w:val="32"/>
          <w:szCs w:val="32"/>
        </w:rPr>
        <w:t>第二十七条</w:t>
      </w:r>
      <w:r>
        <w:rPr>
          <w:rFonts w:ascii="仿宋_GB2312" w:hAnsi="仿宋_GB2312" w:cs="仿宋_GB2312" w:hint="eastAsia" w:eastAsia="仿宋_GB2312"/>
          <w:kern w:val="0"/>
          <w:sz w:val="32"/>
          <w:szCs w:val="32"/>
        </w:rPr>
        <w:t xml:space="preserve"> </w:t>
      </w:r>
      <w:r>
        <w:rPr>
          <w:rFonts w:ascii="仿宋" w:hAnsi="仿宋" w:cs="仿宋" w:hint="eastAsia" w:eastAsia="仿宋"/>
          <w:color w:val="000000"/>
          <w:sz w:val="32"/>
          <w:szCs w:val="32"/>
        </w:rPr>
        <w:t>自治县人民政府应当组织相关部门编制饮用水水源地污染事故处置应急预案，建立专业应急队伍，配备应急设施，储备应急物资。</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本行政区域内可能发生水污染事故的企业事业单位，应当制定水污染事故处置应急预案，做好应急准备工作。</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发生饮用水水源地污染事件，自治县人民政府应当立即启动应急预案，组织相关部门，调动应急队伍和社会力量，依法采取应急措施。</w:t>
      </w:r>
    </w:p>
    <w:p>
      <w:pPr>
        <w:pStyle w:val="Normal"/>
        <w:keepNext w:val="false"/>
        <w:keepLines w:val="false"/>
        <w:pageBreakBefore w:val="false"/>
        <w:kinsoku w:val="true"/>
        <w:overflowPunct w:val="true"/>
        <w:autoSpaceDE w:val="true"/>
        <w:bidi w:val="0"/>
        <w:snapToGrid w:val="true"/>
        <w:spacing w:lineRule="exact" w:line="560" w:before="100" w:after="100"/>
        <w:jc w:val="center"/>
        <w:textAlignment w:val="auto"/>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Normal"/>
        <w:keepNext w:val="false"/>
        <w:keepLines w:val="false"/>
        <w:pageBreakBefore w:val="false"/>
        <w:kinsoku w:val="true"/>
        <w:overflowPunct w:val="true"/>
        <w:autoSpaceDE w:val="true"/>
        <w:bidi w:val="0"/>
        <w:snapToGrid w:val="true"/>
        <w:spacing w:lineRule="exact" w:line="560" w:before="100" w:after="100"/>
        <w:jc w:val="center"/>
        <w:textAlignment w:val="auto"/>
        <w:rPr>
          <w:rFonts w:ascii="黑体" w:hAnsi="黑体" w:eastAsia="黑体" w:cs="黑体" w:hint="eastAsia"/>
          <w:b/>
          <w:bCs/>
          <w:color w:val="000000"/>
          <w:sz w:val="32"/>
          <w:szCs w:val="32"/>
        </w:rPr>
      </w:pPr>
      <w:r>
        <w:rPr>
          <w:rFonts w:ascii="宋体" w:hAnsi="宋体" w:cs="宋体" w:hint="eastAsia"/>
          <w:b/>
          <w:bCs/>
          <w:color w:val="000000"/>
          <w:sz w:val="32"/>
          <w:szCs w:val="32"/>
        </w:rPr>
        <w:t xml:space="preserve">第四章 </w:t>
      </w:r>
      <w:r>
        <w:rPr>
          <w:rFonts w:ascii="黑体" w:hAnsi="黑体" w:cs="黑体" w:hint="eastAsia" w:eastAsia="黑体"/>
          <w:b/>
          <w:bCs/>
          <w:color w:val="000000"/>
          <w:sz w:val="32"/>
          <w:szCs w:val="32"/>
        </w:rPr>
        <w:t>法律责任</w:t>
      </w:r>
    </w:p>
    <w:p>
      <w:pPr>
        <w:pStyle w:val="Normal"/>
        <w:keepNext w:val="false"/>
        <w:keepLines w:val="false"/>
        <w:pageBreakBefore w:val="false"/>
        <w:kinsoku w:val="true"/>
        <w:overflowPunct w:val="true"/>
        <w:autoSpaceDE w:val="true"/>
        <w:bidi w:val="0"/>
        <w:snapToGrid w:val="true"/>
        <w:spacing w:lineRule="exact" w:line="560" w:before="100" w:after="100"/>
        <w:jc w:val="center"/>
        <w:textAlignment w:val="auto"/>
        <w:rPr>
          <w:rFonts w:ascii="黑体" w:hAnsi="黑体" w:eastAsia="黑体" w:cs="黑体" w:hint="eastAsia"/>
          <w:b/>
          <w:bCs/>
          <w:color w:val="000000"/>
          <w:sz w:val="32"/>
          <w:szCs w:val="32"/>
        </w:rPr>
      </w:pPr>
      <w:r>
        <w:rPr>
          <w:rFonts w:eastAsia="黑体" w:cs="黑体" w:hint="eastAsia" w:ascii="黑体" w:hAnsi="黑体"/>
          <w:b/>
          <w:bCs/>
          <w:color w:val="000000"/>
          <w:sz w:val="32"/>
          <w:szCs w:val="32"/>
        </w:rPr>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Arial" w:hint="eastAsia" w:eastAsia="黑体"/>
          <w:kern w:val="0"/>
          <w:sz w:val="32"/>
          <w:szCs w:val="32"/>
        </w:rPr>
        <w:t>第二十八条</w:t>
      </w:r>
      <w:r>
        <w:rPr>
          <w:rFonts w:ascii="仿宋_GB2312" w:hAnsi="仿宋_GB2312" w:cs="仿宋_GB2312" w:hint="eastAsia" w:eastAsia="仿宋_GB2312"/>
          <w:kern w:val="0"/>
          <w:sz w:val="32"/>
          <w:szCs w:val="32"/>
        </w:rPr>
        <w:t xml:space="preserve"> </w:t>
      </w:r>
      <w:r>
        <w:rPr>
          <w:rFonts w:ascii="仿宋" w:hAnsi="仿宋" w:cs="仿宋" w:hint="eastAsia" w:eastAsia="仿宋"/>
          <w:color w:val="000000"/>
          <w:sz w:val="32"/>
          <w:szCs w:val="32"/>
        </w:rPr>
        <w:t>违反本条例规定，在水源保护区内设置排污口的，由自治县人民政府责令限期拆除，处以十万元以上五十万元以下的罚款；逾期不拆除的，强制拆除，所需费用由违法者承担，处以五十万元以上一百万元以下的罚款，并可以责令停产整治。</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sectPr>
          <w:footerReference w:type="default" r:id="rId17"/>
          <w:footerReference w:type="first" r:id="rId18"/>
          <w:type w:val="nextPage"/>
          <w:pgSz w:w="11906" w:h="16838"/>
          <w:pgMar w:left="1587" w:right="1474" w:gutter="0" w:header="0" w:top="2098" w:footer="992" w:bottom="1984"/>
          <w:pgNumType w:fmt="decimal"/>
          <w:formProt w:val="false"/>
          <w:textDirection w:val="lrTb"/>
          <w:docGrid w:type="lines" w:linePitch="312" w:charSpace="0"/>
        </w:sectPr>
      </w:pPr>
      <w:r>
        <w:rPr>
          <w:rFonts w:ascii="黑体" w:hAnsi="黑体" w:cs="Arial" w:hint="eastAsia" w:eastAsia="黑体"/>
          <w:kern w:val="0"/>
          <w:sz w:val="32"/>
          <w:szCs w:val="32"/>
        </w:rPr>
        <w:t>第二十九条</w:t>
      </w:r>
      <w:r>
        <w:rPr>
          <w:rFonts w:ascii="仿宋_GB2312" w:hAnsi="仿宋_GB2312" w:cs="仿宋_GB2312" w:hint="eastAsia" w:eastAsia="仿宋_GB2312"/>
          <w:kern w:val="0"/>
          <w:sz w:val="32"/>
          <w:szCs w:val="32"/>
        </w:rPr>
        <w:t xml:space="preserve"> </w:t>
      </w:r>
      <w:r>
        <w:rPr>
          <w:rFonts w:ascii="仿宋" w:hAnsi="仿宋" w:cs="仿宋" w:hint="eastAsia" w:eastAsia="仿宋"/>
          <w:color w:val="000000"/>
          <w:sz w:val="32"/>
          <w:szCs w:val="32"/>
        </w:rPr>
        <w:t>违反本条例规定，有下列行为之一的，由自治县人民政府生态环境保护部门责令停止违法行为，处以十万元以上二十万元以下的罚款，情节严重的处以二十万元以上五十万元以下的罚款；</w:t>
      </w:r>
      <w:bookmarkStart w:id="14" w:name="_Hlk533861220"/>
      <w:r>
        <w:rPr>
          <w:rFonts w:ascii="仿宋" w:hAnsi="仿宋" w:cs="仿宋" w:hint="eastAsia" w:eastAsia="仿宋"/>
          <w:color w:val="000000"/>
          <w:sz w:val="32"/>
          <w:szCs w:val="32"/>
        </w:rPr>
        <w:t>并报经自治县人民政府批准，责令拆除或者关闭</w:t>
      </w:r>
      <w:bookmarkEnd w:id="14"/>
      <w:r>
        <w:rPr>
          <w:rFonts w:ascii="仿宋" w:hAnsi="仿宋" w:cs="仿宋" w:hint="eastAsia" w:eastAsia="仿宋"/>
          <w:color w:val="000000"/>
          <w:sz w:val="32"/>
          <w:szCs w:val="32"/>
        </w:rPr>
        <w:t>：</w:t>
      </w:r>
      <w:r>
        <w:br w:type="page"/>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（一）在一级保护区内新建、改建、扩建供水设施和饮用水水源保护无关项目的；</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（二）在二级保护区内新建、改建、扩建排放污染物项目的；</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（三）在准保护区内新建、扩建对水体污染严重的建设项目，或者改建建设项目增加排污量的。</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Arial" w:hint="eastAsia" w:eastAsia="黑体"/>
          <w:kern w:val="0"/>
          <w:sz w:val="32"/>
          <w:szCs w:val="32"/>
        </w:rPr>
        <w:t>第三十条</w:t>
      </w:r>
      <w:r>
        <w:rPr>
          <w:rFonts w:ascii="仿宋_GB2312" w:hAnsi="仿宋_GB2312" w:cs="仿宋_GB2312" w:hint="eastAsia" w:eastAsia="仿宋_GB2312"/>
          <w:kern w:val="0"/>
          <w:sz w:val="32"/>
          <w:szCs w:val="32"/>
        </w:rPr>
        <w:t xml:space="preserve"> </w:t>
      </w:r>
      <w:r>
        <w:rPr>
          <w:rFonts w:ascii="仿宋" w:hAnsi="仿宋" w:cs="仿宋" w:hint="eastAsia" w:eastAsia="仿宋"/>
          <w:color w:val="000000"/>
          <w:sz w:val="32"/>
          <w:szCs w:val="32"/>
        </w:rPr>
        <w:t>违反本条例规定，向水源保护区内排放有毒、有害物质或者倾倒固体废弃物的，由自治县人民政府生态环境保护部门依据《中华人民共和国水污染防治法》</w:t>
      </w:r>
      <w:r>
        <w:rPr>
          <w:rFonts w:ascii="仿宋" w:hAnsi="仿宋" w:cs="仿宋" w:hint="eastAsia" w:eastAsia="仿宋"/>
          <w:color w:val="000000"/>
          <w:kern w:val="0"/>
          <w:sz w:val="32"/>
          <w:szCs w:val="32"/>
        </w:rPr>
        <w:t>等法律法规的规定予以处罚。</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kern w:val="0"/>
          <w:sz w:val="32"/>
          <w:szCs w:val="32"/>
        </w:rPr>
        <w:t>第三十一条</w:t>
      </w:r>
      <w:r>
        <w:rPr>
          <w:rFonts w:ascii="仿宋_GB2312" w:hAnsi="仿宋_GB2312" w:cs="仿宋_GB2312" w:hint="eastAsia" w:eastAsia="仿宋_GB2312"/>
          <w:kern w:val="0"/>
          <w:sz w:val="32"/>
          <w:szCs w:val="32"/>
        </w:rPr>
        <w:t xml:space="preserve"> </w:t>
      </w:r>
      <w:r>
        <w:rPr>
          <w:rFonts w:ascii="仿宋" w:hAnsi="仿宋" w:cs="仿宋" w:hint="eastAsia" w:eastAsia="仿宋"/>
          <w:sz w:val="32"/>
          <w:szCs w:val="32"/>
        </w:rPr>
        <w:t>违反本条例规定，在水源保护区内采石、采砂、取土的，由自治县人民政府生态环境保护部门责令停止违法行为，限期恢复原状，并处以二万元以上五万元以下罚款；有违法所得的，没收违法所得。</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Arial" w:hint="eastAsia" w:eastAsia="黑体"/>
          <w:kern w:val="0"/>
          <w:sz w:val="32"/>
          <w:szCs w:val="32"/>
        </w:rPr>
        <w:t>第三十二条</w:t>
      </w:r>
      <w:r>
        <w:rPr>
          <w:rFonts w:ascii="仿宋_GB2312" w:hAnsi="仿宋_GB2312" w:cs="仿宋_GB2312" w:hint="eastAsia" w:eastAsia="仿宋_GB2312"/>
          <w:kern w:val="0"/>
          <w:sz w:val="32"/>
          <w:szCs w:val="32"/>
        </w:rPr>
        <w:t xml:space="preserve"> </w:t>
      </w:r>
      <w:r>
        <w:rPr>
          <w:rFonts w:ascii="仿宋" w:hAnsi="仿宋" w:cs="仿宋" w:hint="eastAsia" w:eastAsia="仿宋"/>
          <w:color w:val="000000"/>
          <w:sz w:val="32"/>
          <w:szCs w:val="32"/>
        </w:rPr>
        <w:t>在水源保护区内盗伐、滥伐护岸林、涵养林或者其他林木的，由自治县</w:t>
      </w:r>
      <w:r>
        <w:rPr>
          <w:rFonts w:ascii="仿宋" w:hAnsi="仿宋" w:cs="仿宋" w:hint="eastAsia" w:eastAsia="仿宋"/>
          <w:sz w:val="32"/>
          <w:szCs w:val="32"/>
        </w:rPr>
        <w:t>人民政府</w:t>
      </w:r>
      <w:r>
        <w:rPr>
          <w:rFonts w:ascii="仿宋" w:hAnsi="仿宋" w:cs="仿宋" w:hint="eastAsia" w:eastAsia="仿宋"/>
          <w:color w:val="000000"/>
          <w:sz w:val="32"/>
          <w:szCs w:val="32"/>
        </w:rPr>
        <w:t>森林公安部门依据《森林法》</w:t>
      </w:r>
      <w:r>
        <w:rPr>
          <w:rFonts w:ascii="仿宋" w:hAnsi="仿宋" w:cs="仿宋" w:hint="eastAsia" w:eastAsia="仿宋"/>
          <w:color w:val="000000"/>
          <w:kern w:val="0"/>
          <w:sz w:val="32"/>
          <w:szCs w:val="32"/>
        </w:rPr>
        <w:t>等法律法规的规定予以处罚</w:t>
      </w:r>
      <w:r>
        <w:rPr>
          <w:rFonts w:ascii="仿宋" w:hAnsi="仿宋" w:cs="仿宋" w:hint="eastAsia" w:eastAsia="仿宋"/>
          <w:color w:val="000000"/>
          <w:sz w:val="32"/>
          <w:szCs w:val="32"/>
        </w:rPr>
        <w:t>；构成犯罪的，依法追究刑事责任。</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Arial" w:hint="eastAsia" w:eastAsia="黑体"/>
          <w:kern w:val="0"/>
          <w:sz w:val="32"/>
          <w:szCs w:val="32"/>
        </w:rPr>
        <w:t>第三十三条</w:t>
      </w:r>
      <w:r>
        <w:rPr>
          <w:rFonts w:ascii="仿宋_GB2312" w:hAnsi="仿宋_GB2312" w:cs="仿宋_GB2312" w:hint="eastAsia" w:eastAsia="仿宋_GB2312"/>
          <w:kern w:val="0"/>
          <w:sz w:val="32"/>
          <w:szCs w:val="32"/>
        </w:rPr>
        <w:t xml:space="preserve"> </w:t>
      </w:r>
      <w:r>
        <w:rPr>
          <w:rFonts w:ascii="仿宋" w:hAnsi="仿宋" w:cs="仿宋" w:hint="eastAsia" w:eastAsia="仿宋"/>
          <w:color w:val="000000"/>
          <w:sz w:val="32"/>
          <w:szCs w:val="32"/>
        </w:rPr>
        <w:t>违反本条例规定，在水源保护区埋设墓地的，由自治县人民政府民政部门责令墓地所有人限期搬迁，处以五千元以上两万元以下的罚款。</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bookmarkStart w:id="15" w:name="_Hlk529807444"/>
      <w:r>
        <w:rPr>
          <w:rFonts w:ascii="仿宋" w:hAnsi="仿宋" w:cs="仿宋" w:hint="eastAsia" w:eastAsia="仿宋"/>
          <w:color w:val="000000"/>
          <w:sz w:val="32"/>
          <w:szCs w:val="32"/>
        </w:rPr>
        <w:t>在水源保护区丢弃或者掩埋动物尸体的，由自治县动物卫生监督机构责令改正，处以二千元以上二万元以下罚款。</w:t>
      </w:r>
      <w:bookmarkEnd w:id="15"/>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sectPr>
          <w:footerReference w:type="default" r:id="rId19"/>
          <w:footerReference w:type="first" r:id="rId20"/>
          <w:type w:val="nextPage"/>
          <w:pgSz w:w="11906" w:h="16838"/>
          <w:pgMar w:left="1587" w:right="1474" w:gutter="0" w:header="0" w:top="2098" w:footer="992" w:bottom="1984"/>
          <w:pgNumType w:fmt="decimal"/>
          <w:formProt w:val="false"/>
          <w:textDirection w:val="lrTb"/>
          <w:docGrid w:type="lines" w:linePitch="312" w:charSpace="0"/>
        </w:sectPr>
      </w:pPr>
      <w:r>
        <w:rPr>
          <w:rFonts w:ascii="黑体" w:hAnsi="黑体" w:cs="Arial" w:hint="eastAsia" w:eastAsia="黑体"/>
          <w:kern w:val="0"/>
          <w:sz w:val="32"/>
          <w:szCs w:val="32"/>
        </w:rPr>
        <w:t>第三十四条</w:t>
      </w:r>
      <w:r>
        <w:rPr>
          <w:rFonts w:ascii="仿宋_GB2312" w:hAnsi="仿宋_GB2312" w:cs="仿宋_GB2312" w:hint="eastAsia" w:eastAsia="仿宋_GB2312"/>
          <w:kern w:val="0"/>
          <w:sz w:val="32"/>
          <w:szCs w:val="32"/>
        </w:rPr>
        <w:t xml:space="preserve"> </w:t>
      </w:r>
      <w:r>
        <w:rPr>
          <w:rFonts w:ascii="仿宋" w:hAnsi="仿宋" w:cs="仿宋" w:hint="eastAsia" w:eastAsia="仿宋"/>
          <w:color w:val="000000"/>
          <w:sz w:val="32"/>
          <w:szCs w:val="32"/>
        </w:rPr>
        <w:t>违反本条例规定，在一级保护区内从事网箱养</w:t>
      </w:r>
      <w:r>
        <w:br w:type="page"/>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殖、畜禽养殖等其他可能污染饮用水水体的生产经营活动的，由自治县人民政府生态环境保护部门责令停止违法行为，处以二万元以上五万元以下的罚款。</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个人在水源一级保护区内游泳、垂钓、放牧、放生或者从事其他可能污染饮用水水体活动的，由</w:t>
      </w:r>
      <w:bookmarkStart w:id="16" w:name="_Hlk6466424"/>
      <w:r>
        <w:rPr>
          <w:rFonts w:ascii="仿宋" w:hAnsi="仿宋" w:cs="仿宋" w:hint="eastAsia" w:eastAsia="仿宋"/>
          <w:color w:val="000000"/>
          <w:sz w:val="32"/>
          <w:szCs w:val="32"/>
        </w:rPr>
        <w:t>自治县人民政府生态环境保护部门</w:t>
      </w:r>
      <w:bookmarkEnd w:id="16"/>
      <w:r>
        <w:rPr>
          <w:rFonts w:ascii="仿宋" w:hAnsi="仿宋" w:cs="仿宋" w:hint="eastAsia" w:eastAsia="仿宋"/>
          <w:color w:val="000000"/>
          <w:sz w:val="32"/>
          <w:szCs w:val="32"/>
        </w:rPr>
        <w:t>责令停止违法行为，处以五百元以下的罚款。</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kern w:val="0"/>
          <w:sz w:val="32"/>
          <w:szCs w:val="32"/>
        </w:rPr>
      </w:pPr>
      <w:r>
        <w:rPr>
          <w:rFonts w:ascii="黑体" w:hAnsi="黑体" w:cs="Arial" w:hint="eastAsia" w:eastAsia="黑体"/>
          <w:kern w:val="0"/>
          <w:sz w:val="32"/>
          <w:szCs w:val="32"/>
        </w:rPr>
        <w:t>第三十五条</w:t>
      </w:r>
      <w:r>
        <w:rPr>
          <w:rFonts w:ascii="仿宋_GB2312" w:hAnsi="仿宋_GB2312" w:cs="仿宋_GB2312" w:hint="eastAsia" w:eastAsia="仿宋_GB2312"/>
          <w:kern w:val="0"/>
          <w:sz w:val="32"/>
          <w:szCs w:val="32"/>
        </w:rPr>
        <w:t xml:space="preserve"> </w:t>
      </w:r>
      <w:r>
        <w:rPr>
          <w:rFonts w:ascii="仿宋" w:hAnsi="仿宋" w:cs="仿宋" w:hint="eastAsia" w:eastAsia="仿宋"/>
          <w:color w:val="000000"/>
          <w:sz w:val="32"/>
          <w:szCs w:val="32"/>
        </w:rPr>
        <w:t>违反本条例规定，在水源保护区</w:t>
      </w:r>
      <w:r>
        <w:rPr>
          <w:rFonts w:ascii="仿宋" w:hAnsi="仿宋" w:cs="仿宋" w:hint="eastAsia" w:eastAsia="仿宋"/>
          <w:color w:val="000000"/>
          <w:kern w:val="0"/>
          <w:sz w:val="32"/>
          <w:szCs w:val="32"/>
        </w:rPr>
        <w:t>进行炸鱼、毒鱼、电鱼等非法捕捞活动的，由自治县人民政府渔业部门依据《中华人民共和国渔业法》等法律法规的规定予以处罚。</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Arial" w:hint="eastAsia" w:eastAsia="黑体"/>
          <w:kern w:val="0"/>
          <w:sz w:val="32"/>
          <w:szCs w:val="32"/>
        </w:rPr>
        <w:t>第三十六条</w:t>
      </w:r>
      <w:r>
        <w:rPr>
          <w:rFonts w:ascii="仿宋_GB2312" w:hAnsi="仿宋_GB2312" w:cs="仿宋_GB2312" w:hint="eastAsia" w:eastAsia="仿宋_GB2312"/>
          <w:kern w:val="0"/>
          <w:sz w:val="32"/>
          <w:szCs w:val="32"/>
        </w:rPr>
        <w:t xml:space="preserve"> </w:t>
      </w:r>
      <w:r>
        <w:rPr>
          <w:rFonts w:ascii="仿宋" w:hAnsi="仿宋" w:cs="仿宋" w:hint="eastAsia" w:eastAsia="仿宋"/>
          <w:color w:val="000000"/>
          <w:sz w:val="32"/>
          <w:szCs w:val="32"/>
        </w:rPr>
        <w:t>违反本条例规定，移动、占用、损毁、涂改水源保护区防护网、监控设备、界桩、界碑或警示标志的，由自治县人民政府水利部门责令限期恢复原状；逾期拒不恢复原状的，处以一千元以上五千元以下的罚款。</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Arial" w:hint="eastAsia" w:eastAsia="黑体"/>
          <w:kern w:val="0"/>
          <w:sz w:val="32"/>
          <w:szCs w:val="32"/>
        </w:rPr>
        <w:t>第三十七条</w:t>
      </w:r>
      <w:r>
        <w:rPr>
          <w:rFonts w:ascii="仿宋_GB2312" w:hAnsi="仿宋_GB2312" w:cs="仿宋_GB2312" w:hint="eastAsia" w:eastAsia="仿宋_GB2312"/>
          <w:kern w:val="0"/>
          <w:sz w:val="32"/>
          <w:szCs w:val="32"/>
        </w:rPr>
        <w:t xml:space="preserve"> </w:t>
      </w:r>
      <w:r>
        <w:rPr>
          <w:rFonts w:ascii="仿宋" w:hAnsi="仿宋" w:cs="仿宋" w:hint="eastAsia" w:eastAsia="仿宋"/>
          <w:color w:val="000000"/>
          <w:sz w:val="32"/>
          <w:szCs w:val="32"/>
        </w:rPr>
        <w:t>自治县人民政府及其主管部门在饮用水水源保护工作中有下列行为之一的，对负有责任的主管人员和其他直接责任人员依法给予行政处分：</w:t>
      </w:r>
      <w:r>
        <w:rPr>
          <w:rFonts w:eastAsia="仿宋" w:cs="仿宋" w:hint="eastAsia" w:ascii="仿宋" w:hAnsi="仿宋"/>
          <w:color w:val="000000"/>
          <w:sz w:val="32"/>
          <w:szCs w:val="32"/>
        </w:rPr>
        <w:br/>
        <w:t xml:space="preserve">    </w:t>
      </w:r>
      <w:r>
        <w:rPr>
          <w:rFonts w:ascii="仿宋" w:hAnsi="仿宋" w:cs="仿宋" w:hint="eastAsia" w:eastAsia="仿宋"/>
          <w:color w:val="000000"/>
          <w:sz w:val="32"/>
          <w:szCs w:val="32"/>
        </w:rPr>
        <w:t>（一）未按照相关法律法规及本条例规定在水源保护区内审批、核准建设项目的；</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（二）未按照相关法律法规及本条例规定开展饮用水水源地巡查、水质监测和信息发布的；</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sectPr>
          <w:footerReference w:type="default" r:id="rId21"/>
          <w:footerReference w:type="first" r:id="rId22"/>
          <w:type w:val="nextPage"/>
          <w:pgSz w:w="11906" w:h="16838"/>
          <w:pgMar w:left="1587" w:right="1474" w:gutter="0" w:header="0" w:top="2098" w:footer="992" w:bottom="1984"/>
          <w:pgNumType w:fmt="decimal"/>
          <w:formProt w:val="false"/>
          <w:textDirection w:val="lrTb"/>
          <w:docGrid w:type="lines" w:linePitch="312" w:charSpace="0"/>
        </w:sectPr>
      </w:pPr>
      <w:r>
        <w:rPr>
          <w:rFonts w:ascii="仿宋" w:hAnsi="仿宋" w:cs="仿宋" w:hint="eastAsia" w:eastAsia="仿宋"/>
          <w:color w:val="000000"/>
          <w:sz w:val="32"/>
          <w:szCs w:val="32"/>
        </w:rPr>
        <w:t>（三）未按照相关法律法规及本条例规定处置饮用水水源污染事故，造成严重后果的；</w:t>
      </w:r>
      <w:r>
        <w:br w:type="page"/>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（四）未按照相关法律法规及本条例规定及时上报水污染事故的；</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（五）其他应当追究行政责任的行为。</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国家机关工作人员在饮用水水源保护工作中因玩忽职守、滥用职权、徇私舞弊构成犯罪的，依法追究刑事责任。</w:t>
      </w:r>
    </w:p>
    <w:p>
      <w:pPr>
        <w:pStyle w:val="Normal"/>
        <w:keepNext w:val="false"/>
        <w:keepLines w:val="false"/>
        <w:pageBreakBefore w:val="false"/>
        <w:kinsoku w:val="true"/>
        <w:overflowPunct w:val="true"/>
        <w:autoSpaceDE w:val="true"/>
        <w:bidi w:val="0"/>
        <w:snapToGrid w:val="true"/>
        <w:spacing w:lineRule="exact" w:line="560"/>
        <w:ind w:firstLine="642" w:end="0"/>
        <w:textAlignment w:val="auto"/>
        <w:rPr>
          <w:rFonts w:ascii="仿宋" w:hAnsi="仿宋" w:eastAsia="仿宋" w:cs="仿宋" w:hint="eastAsia"/>
          <w:color w:val="000000"/>
          <w:sz w:val="32"/>
          <w:szCs w:val="32"/>
        </w:rPr>
      </w:pPr>
      <w:r>
        <w:rPr>
          <w:rFonts w:ascii="黑体" w:hAnsi="黑体" w:cs="Arial" w:hint="eastAsia" w:eastAsia="黑体"/>
          <w:kern w:val="0"/>
          <w:sz w:val="32"/>
          <w:szCs w:val="32"/>
        </w:rPr>
        <w:t>第三十八条</w:t>
      </w:r>
      <w:r>
        <w:rPr>
          <w:rFonts w:ascii="仿宋_GB2312" w:hAnsi="仿宋_GB2312" w:cs="仿宋_GB2312" w:hint="eastAsia" w:eastAsia="仿宋_GB2312"/>
          <w:kern w:val="0"/>
          <w:sz w:val="32"/>
          <w:szCs w:val="32"/>
        </w:rPr>
        <w:t xml:space="preserve"> </w:t>
      </w:r>
      <w:r>
        <w:rPr>
          <w:rFonts w:ascii="仿宋" w:hAnsi="仿宋" w:cs="仿宋" w:hint="eastAsia" w:eastAsia="仿宋"/>
          <w:color w:val="000000"/>
          <w:sz w:val="32"/>
          <w:szCs w:val="32"/>
        </w:rPr>
        <w:t>违反本条例的行为，本条例未规定法律责任的，依据相关法律法规的规定处理。</w:t>
      </w:r>
    </w:p>
    <w:p>
      <w:pPr>
        <w:pStyle w:val="Normal"/>
        <w:keepNext w:val="false"/>
        <w:keepLines w:val="false"/>
        <w:pageBreakBefore w:val="false"/>
        <w:kinsoku w:val="true"/>
        <w:overflowPunct w:val="true"/>
        <w:autoSpaceDE w:val="true"/>
        <w:bidi w:val="0"/>
        <w:snapToGrid w:val="true"/>
        <w:spacing w:lineRule="exact" w:line="560"/>
        <w:ind w:firstLine="642"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kinsoku w:val="true"/>
        <w:overflowPunct w:val="true"/>
        <w:autoSpaceDE w:val="true"/>
        <w:bidi w:val="0"/>
        <w:snapToGrid w:val="true"/>
        <w:spacing w:lineRule="exact" w:line="560" w:before="100" w:after="100"/>
        <w:jc w:val="center"/>
        <w:textAlignment w:val="auto"/>
        <w:rPr>
          <w:rFonts w:ascii="黑体" w:hAnsi="黑体" w:eastAsia="黑体" w:cs="黑体" w:hint="eastAsia"/>
          <w:b/>
          <w:bCs/>
          <w:color w:val="000000"/>
          <w:sz w:val="32"/>
          <w:szCs w:val="32"/>
        </w:rPr>
      </w:pPr>
      <w:r>
        <w:rPr>
          <w:rFonts w:ascii="宋体" w:hAnsi="宋体" w:cs="宋体" w:hint="eastAsia"/>
          <w:b/>
          <w:bCs/>
          <w:color w:val="000000"/>
          <w:sz w:val="32"/>
          <w:szCs w:val="32"/>
        </w:rPr>
        <w:t>第五章</w:t>
      </w:r>
      <w:r>
        <w:rPr>
          <w:rFonts w:ascii="黑体" w:hAnsi="黑体" w:cs="黑体" w:eastAsia="黑体"/>
          <w:b/>
          <w:bCs/>
          <w:color w:val="000000"/>
          <w:sz w:val="32"/>
          <w:szCs w:val="32"/>
        </w:rPr>
        <w:t xml:space="preserve"> </w:t>
      </w:r>
      <w:r>
        <w:rPr>
          <w:rFonts w:ascii="黑体" w:hAnsi="黑体" w:cs="黑体" w:hint="eastAsia" w:eastAsia="黑体"/>
          <w:b/>
          <w:bCs/>
          <w:color w:val="000000"/>
          <w:sz w:val="32"/>
          <w:szCs w:val="32"/>
        </w:rPr>
        <w:t>附则</w:t>
      </w:r>
    </w:p>
    <w:p>
      <w:pPr>
        <w:pStyle w:val="Normal"/>
        <w:keepNext w:val="false"/>
        <w:keepLines w:val="false"/>
        <w:pageBreakBefore w:val="false"/>
        <w:kinsoku w:val="true"/>
        <w:overflowPunct w:val="true"/>
        <w:autoSpaceDE w:val="true"/>
        <w:bidi w:val="0"/>
        <w:snapToGrid w:val="true"/>
        <w:spacing w:lineRule="exact" w:line="560" w:before="100" w:after="100"/>
        <w:jc w:val="center"/>
        <w:textAlignment w:val="auto"/>
        <w:rPr>
          <w:rFonts w:ascii="黑体" w:hAnsi="黑体" w:eastAsia="黑体" w:cs="黑体" w:hint="eastAsia"/>
          <w:b/>
          <w:bCs/>
          <w:color w:val="000000"/>
          <w:sz w:val="32"/>
          <w:szCs w:val="32"/>
        </w:rPr>
      </w:pPr>
      <w:r>
        <w:rPr>
          <w:rFonts w:eastAsia="黑体" w:cs="黑体" w:hint="eastAsia" w:ascii="黑体" w:hAnsi="黑体"/>
          <w:b/>
          <w:bCs/>
          <w:color w:val="000000"/>
          <w:sz w:val="32"/>
          <w:szCs w:val="32"/>
        </w:rPr>
      </w:r>
    </w:p>
    <w:p>
      <w:pPr>
        <w:pStyle w:val="Normal"/>
        <w:keepNext w:val="false"/>
        <w:keepLines w:val="false"/>
        <w:pageBreakBefore w:val="false"/>
        <w:kinsoku w:val="true"/>
        <w:overflowPunct w:val="true"/>
        <w:autoSpaceDE w:val="true"/>
        <w:bidi w:val="0"/>
        <w:snapToGrid w:val="true"/>
        <w:spacing w:lineRule="exact" w:line="560"/>
        <w:textAlignment w:val="auto"/>
        <w:rPr>
          <w:rFonts w:ascii="黑体" w:hAnsi="黑体" w:eastAsia="仿宋" w:cs="Arial" w:hint="eastAsia"/>
          <w:kern w:val="0"/>
          <w:sz w:val="32"/>
          <w:szCs w:val="32"/>
        </w:rPr>
        <w:sectPr>
          <w:footerReference w:type="default" r:id="rId23"/>
          <w:footerReference w:type="first" r:id="rId24"/>
          <w:type w:val="nextPage"/>
          <w:pgSz w:w="11906" w:h="16838"/>
          <w:pgMar w:left="1587" w:right="1474" w:gutter="0" w:header="0" w:top="2098" w:footer="992" w:bottom="1984"/>
          <w:pgNumType w:fmt="decimal"/>
          <w:formProt w:val="false"/>
          <w:textDirection w:val="lrTb"/>
          <w:docGrid w:type="lines" w:linePitch="312" w:charSpace="0"/>
        </w:sectPr>
      </w:pPr>
      <w:r>
        <w:rPr>
          <w:rFonts w:eastAsia="仿宋" w:cs="仿宋" w:ascii="仿宋" w:hAnsi="仿宋"/>
          <w:b/>
          <w:bCs/>
          <w:color w:val="000000"/>
          <w:sz w:val="32"/>
          <w:szCs w:val="32"/>
        </w:rPr>
        <w:t xml:space="preserve">  </w:t>
      </w:r>
      <w:r>
        <w:rPr>
          <w:rFonts w:eastAsia="仿宋" w:cs="仿宋" w:hint="eastAsia" w:ascii="仿宋" w:hAnsi="仿宋"/>
          <w:b/>
          <w:bCs/>
          <w:color w:val="000000"/>
          <w:sz w:val="32"/>
          <w:szCs w:val="32"/>
        </w:rPr>
        <w:t xml:space="preserve">  </w:t>
      </w:r>
      <w:r>
        <w:rPr>
          <w:rFonts w:ascii="黑体" w:hAnsi="黑体" w:cs="Arial" w:hint="eastAsia" w:eastAsia="黑体"/>
          <w:kern w:val="0"/>
          <w:sz w:val="32"/>
          <w:szCs w:val="32"/>
        </w:rPr>
        <w:t>第三十九条</w:t>
      </w:r>
      <w:r>
        <w:rPr>
          <w:rFonts w:ascii="仿宋_GB2312" w:hAnsi="仿宋_GB2312" w:cs="仿宋_GB2312" w:hint="eastAsia" w:eastAsia="仿宋_GB2312"/>
          <w:kern w:val="0"/>
          <w:sz w:val="32"/>
          <w:szCs w:val="32"/>
        </w:rPr>
        <w:t xml:space="preserve"> </w:t>
      </w:r>
      <w:r>
        <w:rPr>
          <w:rFonts w:ascii="仿宋" w:hAnsi="仿宋" w:cs="仿宋" w:hint="eastAsia" w:eastAsia="仿宋"/>
          <w:color w:val="000000"/>
          <w:kern w:val="0"/>
          <w:sz w:val="32"/>
          <w:szCs w:val="32"/>
        </w:rPr>
        <w:t>本条例自</w:t>
      </w:r>
      <w:r>
        <w:rPr>
          <w:rFonts w:eastAsia="仿宋" w:cs="仿宋" w:hint="eastAsia" w:ascii="仿宋" w:hAnsi="仿宋"/>
          <w:color w:val="000000"/>
          <w:kern w:val="0"/>
          <w:sz w:val="32"/>
          <w:szCs w:val="32"/>
        </w:rPr>
        <w:t>2019</w:t>
      </w:r>
      <w:r>
        <w:rPr>
          <w:rFonts w:ascii="仿宋" w:hAnsi="仿宋" w:cs="仿宋" w:hint="eastAsia" w:eastAsia="仿宋"/>
          <w:color w:val="000000"/>
          <w:kern w:val="0"/>
          <w:sz w:val="32"/>
          <w:szCs w:val="32"/>
        </w:rPr>
        <w:t>年</w:t>
      </w:r>
      <w:r>
        <w:rPr>
          <w:rFonts w:eastAsia="仿宋" w:cs="仿宋" w:hint="eastAsia" w:ascii="仿宋" w:hAnsi="仿宋"/>
          <w:color w:val="000000"/>
          <w:kern w:val="0"/>
          <w:sz w:val="32"/>
          <w:szCs w:val="32"/>
        </w:rPr>
        <w:t>8</w:t>
      </w:r>
      <w:r>
        <w:rPr>
          <w:rFonts w:ascii="仿宋" w:hAnsi="仿宋" w:cs="仿宋" w:hint="eastAsia" w:eastAsia="仿宋"/>
          <w:color w:val="000000"/>
          <w:kern w:val="0"/>
          <w:sz w:val="32"/>
          <w:szCs w:val="32"/>
        </w:rPr>
        <w:t>月</w:t>
      </w:r>
      <w:r>
        <w:rPr>
          <w:rFonts w:eastAsia="仿宋" w:cs="仿宋" w:hint="eastAsia" w:ascii="仿宋" w:hAnsi="仿宋"/>
          <w:color w:val="000000"/>
          <w:kern w:val="0"/>
          <w:sz w:val="32"/>
          <w:szCs w:val="32"/>
        </w:rPr>
        <w:t>9</w:t>
      </w:r>
      <w:r>
        <w:rPr>
          <w:rFonts w:ascii="仿宋" w:hAnsi="仿宋" w:cs="仿宋" w:hint="eastAsia" w:eastAsia="仿宋"/>
          <w:color w:val="000000"/>
          <w:kern w:val="0"/>
          <w:sz w:val="32"/>
          <w:szCs w:val="32"/>
        </w:rPr>
        <w:t>日起施行</w:t>
      </w:r>
      <w:bookmarkEnd w:id="6"/>
      <w:r>
        <w:rPr>
          <w:rFonts w:ascii="仿宋" w:hAnsi="仿宋" w:cs="仿宋" w:hint="eastAsia" w:eastAsia="仿宋"/>
          <w:color w:val="000000"/>
          <w:kern w:val="0"/>
          <w:sz w:val="32"/>
          <w:szCs w:val="32"/>
        </w:rPr>
        <w:t>。</w:t>
      </w:r>
    </w:p>
    <w:p>
      <w:pPr>
        <w:pStyle w:val="Normal"/>
        <w:spacing w:lineRule="auto" w:line="360"/>
        <w:jc w:val="start"/>
        <w:rPr>
          <w:rFonts w:ascii="仿宋" w:hAnsi="仿宋" w:eastAsia="仿宋" w:cs="仿宋" w:hint="eastAsia"/>
          <w:kern w:val="0"/>
          <w:sz w:val="32"/>
          <w:szCs w:val="32"/>
        </w:rPr>
      </w:pPr>
      <w:r>
        <w:rPr>
          <w:rFonts w:eastAsia="仿宋" w:cs="仿宋" w:hint="eastAsia" w:ascii="仿宋" w:hAnsi="仿宋"/>
          <w:kern w:val="0"/>
          <w:sz w:val="32"/>
          <w:szCs w:val="32"/>
        </w:rPr>
      </w:r>
    </w:p>
    <w:sectPr>
      <w:footerReference w:type="default" r:id="rId25"/>
      <w:footerReference w:type="first" r:id="rId26"/>
      <w:type w:val="nextPage"/>
      <w:pgSz w:w="11906" w:h="16838"/>
      <w:pgMar w:left="1587" w:right="1474" w:gutter="0" w:header="0" w:top="2098" w:footer="992"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楷体_GB2312">
    <w:altName w:val="楷体"/>
    <w:charset w:val="86"/>
    <w:family w:val="modern"/>
    <w:pitch w:val="default"/>
  </w:font>
  <w:font w:name="黑体">
    <w:charset w:val="86"/>
    <w:family w:val="auto"/>
    <w:pitch w:val="default"/>
  </w:font>
  <w:font w:name="仿宋_GB2312">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pPr>
    <w:r>
      <w:rPr>
        <w:rFonts w:hint="eastAsia"/>
      </w:rPr>
      <w:t>—</w:t>
    </w:r>
    <w:r>
      <w:rPr>
        <w:rFonts w:hint="eastAsia"/>
        <w:sz w:val="28"/>
        <w:szCs w:val="28"/>
      </w:rPr>
      <w:t xml:space="preserve"> </w:t>
    </w:r>
    <w:r>
      <w:rPr>
        <w:rFonts w:hint="eastAsia"/>
        <w:sz w:val="28"/>
        <w:szCs w:val="28"/>
      </w:rPr>
      <w:t>1</w:t>
    </w:r>
    <w:r>
      <w:rPr>
        <w:rFonts w:hint="eastAsia"/>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Fonts w:hint="eastAsia"/>
      </w:rPr>
      <w:t xml:space="preserve">— </w:t>
    </w:r>
    <w:r>
      <w:rPr>
        <w:rFonts w:hint="eastAsia"/>
        <w:sz w:val="28"/>
        <w:szCs w:val="28"/>
      </w:rPr>
      <w:t>2</w:t>
    </w:r>
    <w:r>
      <w:rPr>
        <w:rFonts w:hint="eastAsia"/>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4300" w:startChars="0" w:start="0" w:endChars="0" w:end="0"/>
      <w:jc w:val="end"/>
      <w:rPr/>
    </w:pPr>
    <w:r>
      <w:rPr>
        <w:rFonts w:hint="eastAsia"/>
      </w:rPr>
      <w:t>—</w:t>
    </w:r>
    <w:r>
      <w:rPr>
        <w:rFonts w:hint="eastAsia"/>
        <w:sz w:val="28"/>
        <w:szCs w:val="28"/>
      </w:rPr>
      <w:t xml:space="preserve"> </w:t>
    </w:r>
    <w:r>
      <w:rPr>
        <w:rFonts w:hint="eastAsia"/>
        <w:sz w:val="28"/>
        <w:szCs w:val="28"/>
      </w:rPr>
      <w:t>3</w:t>
    </w:r>
    <w:r>
      <w:rPr>
        <w:rFonts w:hint="eastAsia"/>
      </w:rPr>
      <w:t xml:space="preserve"> —</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both"/>
      <w:rPr/>
    </w:pPr>
    <w:r>
      <w:rPr>
        <w:rFonts w:hint="eastAsia"/>
      </w:rPr>
      <w:t xml:space="preserve">— </w:t>
    </w:r>
    <w:r>
      <w:rPr>
        <w:rFonts w:hint="eastAsia"/>
        <w:sz w:val="28"/>
        <w:szCs w:val="28"/>
      </w:rPr>
      <w:t>4</w:t>
    </w:r>
    <w:r>
      <w:rPr>
        <w:rFonts w:hint="eastAsia"/>
      </w:rPr>
      <w:t xml:space="preserve"> —</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4300" w:startChars="0" w:start="0" w:endChars="0" w:end="0"/>
      <w:jc w:val="end"/>
      <w:rPr/>
    </w:pPr>
    <w:r>
      <w:rPr>
        <w:rFonts w:hint="eastAsia"/>
      </w:rPr>
      <w:t>—</w:t>
    </w:r>
    <w:r>
      <w:rPr>
        <w:rFonts w:hint="eastAsia"/>
        <w:sz w:val="28"/>
        <w:szCs w:val="28"/>
      </w:rPr>
      <w:t xml:space="preserve"> </w:t>
    </w:r>
    <w:r>
      <w:rPr>
        <w:rFonts w:hint="eastAsia"/>
        <w:sz w:val="28"/>
        <w:szCs w:val="28"/>
      </w:rPr>
      <w:t>5</w:t>
    </w:r>
    <w:r>
      <w:rPr>
        <w:rFonts w:hint="eastAsia"/>
      </w:rPr>
      <w:t xml:space="preserve"> —</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both"/>
      <w:rPr/>
    </w:pPr>
    <w:r>
      <w:rPr>
        <w:rFonts w:hint="eastAsia"/>
      </w:rPr>
      <w:t xml:space="preserve">— </w:t>
    </w:r>
    <w:r>
      <w:rPr>
        <w:rFonts w:hint="eastAsia"/>
        <w:sz w:val="28"/>
        <w:szCs w:val="28"/>
      </w:rPr>
      <w:t xml:space="preserve">6 </w:t>
    </w:r>
    <w:r>
      <w:rPr>
        <w:rFonts w:hint="eastAsia"/>
      </w:rPr>
      <w:t>—</w: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4300" w:startChars="0" w:start="0" w:endChars="0" w:end="0"/>
      <w:jc w:val="end"/>
      <w:rPr/>
    </w:pPr>
    <w:r>
      <w:rPr>
        <w:rFonts w:hint="eastAsia"/>
      </w:rPr>
      <w:t xml:space="preserve">— </w:t>
    </w:r>
    <w:r>
      <w:rPr>
        <w:rFonts w:hint="eastAsia"/>
        <w:sz w:val="28"/>
        <w:szCs w:val="28"/>
      </w:rPr>
      <w:t>7</w:t>
    </w:r>
    <w:r>
      <w:rPr>
        <w:rFonts w:hint="eastAsia"/>
      </w:rPr>
      <w:t xml:space="preserve"> —</w: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both"/>
      <w:rPr/>
    </w:pPr>
    <w:r>
      <w:rPr>
        <w:rFonts w:hint="eastAsia"/>
      </w:rPr>
      <w:t>—</w:t>
    </w:r>
    <w:r>
      <w:rPr>
        <w:rFonts w:hint="eastAsia"/>
        <w:sz w:val="28"/>
        <w:szCs w:val="28"/>
      </w:rPr>
      <w:t xml:space="preserve"> </w:t>
    </w:r>
    <w:r>
      <w:rPr>
        <w:rFonts w:hint="eastAsia"/>
        <w:sz w:val="28"/>
        <w:szCs w:val="28"/>
      </w:rPr>
      <w:t>8</w:t>
    </w:r>
    <w:r>
      <w:rPr>
        <w:rFonts w:hint="eastAsia"/>
      </w:rPr>
      <w:t xml:space="preserve"> —</w: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4300" w:startChars="0" w:start="0" w:endChars="0" w:end="0"/>
      <w:jc w:val="end"/>
      <w:rPr/>
    </w:pPr>
    <w:r>
      <w:rPr>
        <w:rFonts w:hint="eastAsia"/>
      </w:rPr>
      <w:t xml:space="preserve">— </w:t>
    </w:r>
    <w:r>
      <w:rPr>
        <w:rFonts w:hint="eastAsia"/>
        <w:sz w:val="28"/>
        <w:szCs w:val="28"/>
      </w:rPr>
      <w:t>9</w:t>
    </w:r>
    <w:r>
      <w:rPr>
        <w:rFonts w:hint="eastAsia"/>
      </w:rPr>
      <w:t xml:space="preserve"> —</w: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both"/>
      <w:rPr/>
    </w:pPr>
    <w:r>
      <w:rPr>
        <w:rFonts w:hint="eastAsia"/>
      </w:rPr>
      <w:t xml:space="preserve">— </w:t>
    </w:r>
    <w:r>
      <w:rPr>
        <w:rFonts w:hint="eastAsia"/>
        <w:sz w:val="28"/>
        <w:szCs w:val="28"/>
      </w:rPr>
      <w:t>10</w:t>
    </w:r>
    <w:r>
      <w:rPr>
        <w:rFonts w:hint="eastAsia"/>
      </w:rPr>
      <w:t xml:space="preserve"> —</w: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4200" w:startChars="0" w:start="0" w:endChars="0" w:end="0"/>
      <w:jc w:val="both"/>
      <w:rPr/>
    </w:pPr>
    <w:r>
      <w:rPr>
        <w:rFonts w:hint="eastAsia"/>
      </w:rPr>
      <w:t xml:space="preserve">— </w:t>
    </w:r>
    <w:r>
      <w:rPr>
        <w:rFonts w:hint="eastAsia"/>
        <w:sz w:val="28"/>
        <w:szCs w:val="28"/>
      </w:rPr>
      <w:t xml:space="preserve">11 </w:t>
    </w:r>
    <w:r>
      <w:rPr>
        <w:rFonts w:hint="eastAsia"/>
      </w:rPr>
      <w:t>—</w: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both"/>
      <w:rPr/>
    </w:pPr>
    <w:r>
      <w:rPr>
        <w:rFonts w:hint="eastAsia"/>
      </w:rPr>
      <w:t xml:space="preserve">— </w:t>
    </w:r>
    <w:r>
      <w:rPr>
        <w:rFonts w:hint="eastAsia"/>
        <w:sz w:val="28"/>
        <w:szCs w:val="28"/>
      </w:rPr>
      <w:t>12</w:t>
    </w:r>
    <w:r>
      <w:rPr>
        <w:rFonts w:hint="eastAsia"/>
      </w:rPr>
      <w:t xml:space="preserve"> —</w: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Fonts w:hint="eastAsia"/>
      </w:rPr>
      <w:t xml:space="preserve"> — </w:t>
    </w:r>
    <w:r>
      <w:rPr>
        <w:rFonts w:hint="eastAsia"/>
        <w:sz w:val="28"/>
        <w:szCs w:val="28"/>
      </w:rPr>
      <w:t>12</w:t>
    </w:r>
    <w:r>
      <w:rPr>
        <w:rFonts w:hint="eastAsia"/>
      </w:rPr>
      <w:t xml:space="preserve"> —</w:t>
    </w:r>
    <w:r>
      <mc:AlternateContent>
        <mc:Choice Requires="wps">
          <w:drawing>
            <wp:anchor distT="0" distB="0" distL="0" distR="114935" simplePos="0" relativeHeight="2" behindDoc="1" locked="0" layoutInCell="0" allowOverlap="1">
              <wp:simplePos x="0" y="0"/>
              <wp:positionH relativeFrom="margin">
                <wp:align>left</wp:align>
              </wp:positionH>
              <wp:positionV relativeFrom="paragraph">
                <wp:posOffset>635</wp:posOffset>
              </wp:positionV>
              <wp:extent cx="50800" cy="303530"/>
              <wp:effectExtent l="0" t="0" r="0" b="0"/>
              <wp:wrapNone/>
              <wp:docPr id="1" name="Frame2"/>
              <a:graphic xmlns:a="http://schemas.openxmlformats.org/drawingml/2006/main">
                <a:graphicData uri="http://schemas.microsoft.com/office/word/2010/wordprocessingShape">
                  <wps:wsp>
                    <wps:cNvSpPr txBox="1"/>
                    <wps:spPr>
                      <a:xfrm>
                        <a:off x="0" y="0"/>
                        <a:ext cx="5080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pt;height:23.9pt;mso-wrap-distance-left:0pt;mso-wrap-distance-right:9.05pt;mso-wrap-distance-top:0pt;mso-wrap-distance-bottom:0pt;margin-top:0pt;mso-position-vertical-relative:text;margin-left:0pt;mso-position-horizontal:left;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t xml:space="preserve">                                                          </w:t>
                    </w:r>
                  </w:p>
                </w:txbxContent>
              </v:textbox>
              <w10:wrap type="none"/>
            </v:rect>
          </w:pict>
        </mc:Fallback>
      </mc:AlternateContent>
    </w:r>
    <w:r>
      <mc:AlternateContent>
        <mc:Choice Requires="wps">
          <w:drawing>
            <wp:anchor distT="0" distB="0" distL="114935" distR="114935" simplePos="0" relativeHeight="3" behindDoc="1" locked="0" layoutInCell="0" allowOverlap="1">
              <wp:simplePos x="0" y="0"/>
              <wp:positionH relativeFrom="margin">
                <wp:align>center</wp:align>
              </wp:positionH>
              <wp:positionV relativeFrom="paragraph">
                <wp:posOffset>635</wp:posOffset>
              </wp:positionV>
              <wp:extent cx="117475" cy="140970"/>
              <wp:effectExtent l="0" t="0" r="0" b="0"/>
              <wp:wrapNone/>
              <wp:docPr id="2" name="Frame1"/>
              <a:graphic xmlns:a="http://schemas.openxmlformats.org/drawingml/2006/main">
                <a:graphicData uri="http://schemas.microsoft.com/office/word/2010/wordprocessingShape">
                  <wps:wsp>
                    <wps:cNvSpPr txBox="1"/>
                    <wps:spPr>
                      <a:xfrm>
                        <a:off x="0" y="0"/>
                        <a:ext cx="117475" cy="14097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12</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9.25pt;height:11.1pt;mso-wrap-distance-left:9.05pt;mso-wrap-distance-right:9.05pt;mso-wrap-distance-top:0pt;mso-wrap-distance-bottom:0pt;margin-top:0pt;mso-position-vertical-relative:text;margin-left:216.5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12</w:t>
                    </w:r>
                    <w:r>
                      <w:rPr>
                        <w:rFonts w:hint="eastAsia"/>
                      </w:rPr>
                      <w:fldChar w:fldCharType="end"/>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bCs/>
      <w:kern w:val="0"/>
      <w:sz w:val="36"/>
      <w:szCs w:val="36"/>
    </w:rPr>
  </w:style>
  <w:style w:type="paragraph" w:styleId="Heading3">
    <w:name w:val="heading 3"/>
    <w:basedOn w:val="Normal"/>
    <w:next w:val="BodyText"/>
    <w:qFormat/>
    <w:pPr>
      <w:widowControl/>
      <w:numPr>
        <w:ilvl w:val="2"/>
        <w:numId w:val="1"/>
      </w:numPr>
      <w:spacing w:before="280" w:after="280"/>
      <w:jc w:val="start"/>
      <w:outlineLvl w:val="2"/>
    </w:pPr>
    <w:rPr>
      <w:rFonts w:ascii="宋体" w:hAnsi="宋体" w:cs="宋体"/>
      <w:b/>
      <w:bCs/>
      <w:kern w:val="0"/>
      <w:sz w:val="24"/>
    </w:rPr>
  </w:style>
  <w:style w:type="character" w:styleId="Style11">
    <w:name w:val="默认段落字体"/>
    <w:qFormat/>
    <w:rPr/>
  </w:style>
  <w:style w:type="character" w:styleId="Hyperlink">
    <w:name w:val="Hyperlink"/>
    <w:rPr>
      <w:color w:val="000000"/>
      <w:u w:val="single"/>
    </w:rPr>
  </w:style>
  <w:style w:type="character" w:styleId="PageNumber">
    <w:name w:val="page number"/>
    <w:basedOn w:val="Style11"/>
    <w:rPr/>
  </w:style>
  <w:style w:type="character" w:styleId="CharChar4">
    <w:name w:val="Char Char4"/>
    <w:qFormat/>
    <w:rPr>
      <w:sz w:val="18"/>
      <w:szCs w:val="18"/>
    </w:rPr>
  </w:style>
  <w:style w:type="character" w:styleId="3Char">
    <w:name w:val="标题 3 Char"/>
    <w:qFormat/>
    <w:rPr>
      <w:rFonts w:ascii="宋体" w:hAnsi="宋体" w:cs="宋体"/>
      <w:b/>
      <w:bCs/>
      <w:sz w:val="24"/>
      <w:szCs w:val="24"/>
    </w:rPr>
  </w:style>
  <w:style w:type="character" w:styleId="Char">
    <w:name w:val="批注框文本 Char"/>
    <w:qFormat/>
    <w:rPr>
      <w:kern w:val="2"/>
      <w:sz w:val="18"/>
      <w:szCs w:val="18"/>
    </w:rPr>
  </w:style>
  <w:style w:type="character" w:styleId="Char1">
    <w:name w:val="页脚 Char"/>
    <w:qFormat/>
    <w:rPr>
      <w:kern w:val="2"/>
      <w:sz w:val="18"/>
      <w:szCs w:val="18"/>
    </w:rPr>
  </w:style>
  <w:style w:type="character" w:styleId="CharChar2">
    <w:name w:val="Char Char2"/>
    <w:qFormat/>
    <w:rPr>
      <w:kern w:val="2"/>
      <w:sz w:val="18"/>
      <w:szCs w:val="18"/>
    </w:rPr>
  </w:style>
  <w:style w:type="character" w:styleId="2Char">
    <w:name w:val="标题 2 Char"/>
    <w:qFormat/>
    <w:rPr>
      <w:rFonts w:ascii="宋体" w:hAnsi="宋体" w:cs="宋体"/>
      <w:b/>
      <w:bCs/>
      <w:sz w:val="36"/>
      <w:szCs w:val="36"/>
    </w:rPr>
  </w:style>
  <w:style w:type="character" w:styleId="Heading1Char">
    <w:name w:val="Heading 1 Char"/>
    <w:qFormat/>
    <w:rPr>
      <w:rFonts w:ascii="Times New Roman" w:hAnsi="Times New Roman" w:cs="Times New Roman"/>
      <w:b/>
      <w:bCs/>
      <w:kern w:val="2"/>
      <w:sz w:val="44"/>
      <w:szCs w:val="44"/>
    </w:rPr>
  </w:style>
  <w:style w:type="character" w:styleId="Char2">
    <w:name w:val="脚注文本 Char"/>
    <w:qFormat/>
    <w:rPr>
      <w:kern w:val="2"/>
      <w:sz w:val="18"/>
      <w:szCs w:val="18"/>
    </w:rPr>
  </w:style>
  <w:style w:type="character" w:styleId="HTMLChar">
    <w:name w:val="HTML 预设格式 Char"/>
    <w:qFormat/>
    <w:rPr>
      <w:rFonts w:ascii="宋体" w:hAnsi="宋体" w:cs="宋体"/>
      <w:sz w:val="24"/>
      <w:szCs w:val="24"/>
    </w:rPr>
  </w:style>
  <w:style w:type="character" w:styleId="Char3">
    <w:name w:val="页眉 Char"/>
    <w:qFormat/>
    <w:rPr>
      <w:kern w:val="2"/>
      <w:sz w:val="18"/>
      <w:szCs w:val="18"/>
    </w:rPr>
  </w:style>
  <w:style w:type="character" w:styleId="1Char">
    <w:name w:val="标题 1 Char"/>
    <w:qFormat/>
    <w:rPr>
      <w:b/>
      <w:bCs/>
      <w:kern w:val="2"/>
      <w:sz w:val="44"/>
      <w:szCs w:val="4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ootnoteText">
    <w:name w:val="footnote text"/>
    <w:basedOn w:val="Normal"/>
    <w:pPr>
      <w:snapToGrid w:val="false"/>
      <w:jc w:val="start"/>
    </w:pPr>
    <w:rPr>
      <w:sz w:val="18"/>
      <w:szCs w:val="18"/>
    </w:rPr>
  </w:style>
  <w:style w:type="paragraph" w:styleId="Style12">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3">
    <w:name w:val="普通(网站)"/>
    <w:basedOn w:val="Normal"/>
    <w:qFormat/>
    <w:pPr>
      <w:widowControl/>
      <w:spacing w:before="280" w:after="280"/>
      <w:jc w:val="start"/>
    </w:pPr>
    <w:rPr>
      <w:rFonts w:ascii="宋体" w:hAnsi="宋体" w:cs="宋体"/>
      <w:color w:val="000000"/>
      <w:kern w:val="0"/>
      <w:sz w:val="24"/>
    </w:rPr>
  </w:style>
  <w:style w:type="paragraph" w:styleId="1">
    <w:name w:val="列表段落1"/>
    <w:basedOn w:val="Normal"/>
    <w:qFormat/>
    <w:pPr>
      <w:ind w:firstLineChars="200" w:startChars="0" w:start="0" w:endChars="0" w:end="0"/>
    </w:pPr>
    <w:rPr>
      <w:szCs w:val="22"/>
    </w:rPr>
  </w:style>
  <w:style w:type="paragraph" w:styleId="Style14">
    <w:name w:val="列出段落"/>
    <w:basedOn w:val="Normal"/>
    <w:qFormat/>
    <w:pPr>
      <w:ind w:firstLineChars="200" w:startChars="0" w:start="0" w:endChars="0" w:end="0"/>
    </w:pPr>
    <w:rPr>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footer" Target="footer9.xml"/><Relationship Id="rId11" Type="http://schemas.openxmlformats.org/officeDocument/2006/relationships/footer" Target="footer10.xml"/><Relationship Id="rId12" Type="http://schemas.openxmlformats.org/officeDocument/2006/relationships/footer" Target="footer11.xml"/><Relationship Id="rId13" Type="http://schemas.openxmlformats.org/officeDocument/2006/relationships/footer" Target="footer12.xml"/><Relationship Id="rId14" Type="http://schemas.openxmlformats.org/officeDocument/2006/relationships/footer" Target="footer13.xml"/><Relationship Id="rId15" Type="http://schemas.openxmlformats.org/officeDocument/2006/relationships/footer" Target="footer14.xml"/><Relationship Id="rId16" Type="http://schemas.openxmlformats.org/officeDocument/2006/relationships/footer" Target="footer15.xml"/><Relationship Id="rId17" Type="http://schemas.openxmlformats.org/officeDocument/2006/relationships/footer" Target="footer16.xml"/><Relationship Id="rId18" Type="http://schemas.openxmlformats.org/officeDocument/2006/relationships/footer" Target="footer17.xml"/><Relationship Id="rId19" Type="http://schemas.openxmlformats.org/officeDocument/2006/relationships/footer" Target="footer18.xml"/><Relationship Id="rId20" Type="http://schemas.openxmlformats.org/officeDocument/2006/relationships/footer" Target="footer19.xml"/><Relationship Id="rId21" Type="http://schemas.openxmlformats.org/officeDocument/2006/relationships/footer" Target="footer20.xml"/><Relationship Id="rId22" Type="http://schemas.openxmlformats.org/officeDocument/2006/relationships/footer" Target="footer21.xml"/><Relationship Id="rId23" Type="http://schemas.openxmlformats.org/officeDocument/2006/relationships/footer" Target="footer22.xml"/><Relationship Id="rId24" Type="http://schemas.openxmlformats.org/officeDocument/2006/relationships/footer" Target="footer23.xml"/><Relationship Id="rId25" Type="http://schemas.openxmlformats.org/officeDocument/2006/relationships/footer" Target="footer24.xml"/><Relationship Id="rId26" Type="http://schemas.openxmlformats.org/officeDocument/2006/relationships/footer" Target="footer25.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11520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2019-07-16T17:52:00Z</dcterms:created>
  <dc:creator>微软用户</dc:creator>
  <dc:description/>
  <dc:language>en-US</dc:language>
  <cp:lastModifiedBy>Administrator</cp:lastModifiedBy>
  <cp:lastPrinted>2019-04-08T09:54:00Z</cp:lastPrinted>
  <dcterms:modified xsi:type="dcterms:W3CDTF">2019-08-15T15:09:50Z</dcterms:modified>
  <cp:revision>15</cp:revision>
  <dc:subject/>
  <dc:title>_x0001_</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2052-10.1.0.7698</vt:lpwstr>
  </property>
</Properties>
</file>