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宋体" w:hAnsi="宋体" w:eastAsia="宋体" w:cs="宋体" w:hint="eastAsia"/>
          <w:b w:val="false"/>
          <w:bCs w:val="false"/>
          <w:sz w:val="32"/>
          <w:szCs w:val="32"/>
        </w:rPr>
      </w:pPr>
      <w:r>
        <w:rPr>
          <w:rFonts w:eastAsia="宋体" w:cs="宋体" w:hint="eastAsia" w:ascii="宋体" w:hAnsi="宋体"/>
          <w:b w:val="false"/>
          <w:bCs w:val="false"/>
          <w:sz w:val="32"/>
          <w:szCs w:val="32"/>
        </w:rPr>
      </w:r>
    </w:p>
    <w:p>
      <w:pPr>
        <w:pStyle w:val="Normal"/>
        <w:jc w:val="center"/>
        <w:rPr>
          <w:rFonts w:ascii="宋体" w:hAnsi="宋体" w:eastAsia="宋体" w:cs="宋体" w:hint="eastAsia"/>
          <w:b w:val="false"/>
          <w:bCs w:val="false"/>
          <w:sz w:val="32"/>
          <w:szCs w:val="32"/>
        </w:rPr>
      </w:pPr>
      <w:r>
        <w:rPr>
          <w:rFonts w:eastAsia="宋体" w:cs="宋体" w:hint="eastAsia" w:ascii="宋体" w:hAnsi="宋体"/>
          <w:b w:val="false"/>
          <w:bCs w:val="false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760"/>
        <w:jc w:val="center"/>
        <w:textAlignment w:val="auto"/>
        <w:rPr>
          <w:rFonts w:ascii="宋体" w:hAnsi="宋体" w:eastAsia="宋体" w:cs="宋体" w:hint="eastAsia"/>
          <w:color w:val="000000"/>
          <w:sz w:val="44"/>
          <w:szCs w:val="44"/>
          <w:u w:val="none"/>
          <w:shd w:fill="auto" w:val="clear"/>
        </w:rPr>
      </w:pPr>
      <w:r>
        <w:rPr>
          <w:rFonts w:ascii="宋体" w:hAnsi="宋体" w:cs="宋体" w:hint="eastAsia"/>
          <w:color w:val="000000"/>
          <w:sz w:val="44"/>
          <w:szCs w:val="44"/>
          <w:u w:val="none"/>
          <w:shd w:fill="auto" w:val="clear"/>
        </w:rPr>
        <w:t>四平市</w:t>
      </w:r>
      <w:r>
        <w:rPr>
          <w:rFonts w:ascii="宋体" w:hAnsi="宋体" w:cs="宋体" w:hint="eastAsia"/>
          <w:color w:val="000000"/>
          <w:sz w:val="44"/>
          <w:szCs w:val="44"/>
          <w:u w:val="none"/>
          <w:shd w:fill="auto" w:val="clear"/>
        </w:rPr>
        <w:t>河道管理</w:t>
      </w:r>
      <w:r>
        <w:rPr>
          <w:rFonts w:ascii="宋体" w:hAnsi="宋体" w:cs="宋体" w:hint="eastAsia"/>
          <w:color w:val="000000"/>
          <w:sz w:val="44"/>
          <w:szCs w:val="44"/>
          <w:u w:val="none"/>
          <w:shd w:fill="auto" w:val="clear"/>
        </w:rPr>
        <w:t>条例</w:t>
      </w:r>
    </w:p>
    <w:p>
      <w:pPr>
        <w:pStyle w:val="Normal"/>
        <w:spacing w:lineRule="exact" w:line="600"/>
        <w:jc w:val="center"/>
        <w:rPr>
          <w:rFonts w:ascii="楷体" w:hAnsi="楷体" w:eastAsia="楷体_GB2312" w:cs="楷体" w:hint="eastAsia"/>
          <w:b w:val="false"/>
          <w:bCs w:val="false"/>
          <w:color w:val="000000"/>
          <w:sz w:val="32"/>
          <w:szCs w:val="32"/>
          <w:u w:val="none"/>
          <w:shd w:fill="auto" w:val="clear"/>
        </w:rPr>
      </w:pPr>
      <w:r>
        <w:rPr>
          <w:rFonts w:eastAsia="楷体_GB2312" w:cs="楷体" w:hint="eastAsia" w:ascii="楷体" w:hAnsi="楷体"/>
          <w:b w:val="false"/>
          <w:bCs w:val="false"/>
          <w:color w:val="000000"/>
          <w:sz w:val="32"/>
          <w:szCs w:val="32"/>
          <w:u w:val="none"/>
          <w:shd w:fill="auto" w:val="clear"/>
        </w:rPr>
      </w:r>
    </w:p>
    <w:p>
      <w:pPr>
        <w:pStyle w:val="Normal"/>
        <w:spacing w:lineRule="exact" w:line="600"/>
        <w:ind w:firstLineChars="200" w:startChars="0" w:start="0" w:endChars="0" w:end="0"/>
        <w:jc w:val="start"/>
        <w:rPr>
          <w:rFonts w:ascii="楷体" w:hAnsi="楷体" w:eastAsia="楷体_GB2312" w:cs="楷体" w:hint="eastAsia"/>
          <w:b w:val="false"/>
          <w:bCs w:val="false"/>
          <w:sz w:val="32"/>
          <w:szCs w:val="32"/>
        </w:rPr>
      </w:pPr>
      <w:r>
        <w:rPr>
          <w:rFonts w:ascii="楷体" w:hAnsi="楷体" w:cs="楷体" w:hint="eastAsia" w:eastAsia="楷体_GB2312"/>
          <w:b w:val="false"/>
          <w:bCs w:val="false"/>
          <w:sz w:val="32"/>
          <w:szCs w:val="32"/>
        </w:rPr>
        <w:t>（</w:t>
      </w:r>
      <w:r>
        <w:rPr>
          <w:rFonts w:eastAsia="楷体_GB2312" w:cs="楷体" w:hint="eastAsia" w:ascii="楷体" w:hAnsi="楷体"/>
          <w:b w:val="false"/>
          <w:bCs w:val="false"/>
          <w:sz w:val="32"/>
          <w:szCs w:val="32"/>
        </w:rPr>
        <w:t>2021</w:t>
      </w:r>
      <w:r>
        <w:rPr>
          <w:rFonts w:ascii="楷体" w:hAnsi="楷体" w:cs="楷体" w:hint="eastAsia" w:eastAsia="楷体_GB2312"/>
          <w:b w:val="false"/>
          <w:bCs w:val="false"/>
          <w:sz w:val="32"/>
          <w:szCs w:val="32"/>
        </w:rPr>
        <w:t>年</w:t>
      </w:r>
      <w:r>
        <w:rPr>
          <w:rFonts w:eastAsia="楷体_GB2312" w:cs="楷体" w:hint="eastAsia" w:ascii="楷体" w:hAnsi="楷体"/>
          <w:b w:val="false"/>
          <w:bCs w:val="false"/>
          <w:sz w:val="32"/>
          <w:szCs w:val="32"/>
        </w:rPr>
        <w:t>7</w:t>
      </w:r>
      <w:r>
        <w:rPr>
          <w:rFonts w:ascii="楷体" w:hAnsi="楷体" w:cs="楷体" w:hint="eastAsia" w:eastAsia="楷体_GB2312"/>
          <w:b w:val="false"/>
          <w:bCs w:val="false"/>
          <w:sz w:val="32"/>
          <w:szCs w:val="32"/>
        </w:rPr>
        <w:t>月</w:t>
      </w:r>
      <w:r>
        <w:rPr>
          <w:rFonts w:eastAsia="楷体_GB2312" w:cs="楷体" w:hint="eastAsia" w:ascii="楷体" w:hAnsi="楷体"/>
          <w:b w:val="false"/>
          <w:bCs w:val="false"/>
          <w:sz w:val="32"/>
          <w:szCs w:val="32"/>
        </w:rPr>
        <w:t>27</w:t>
      </w:r>
      <w:r>
        <w:rPr>
          <w:rFonts w:ascii="楷体" w:hAnsi="楷体" w:cs="楷体" w:hint="eastAsia" w:eastAsia="楷体_GB2312"/>
          <w:b w:val="false"/>
          <w:bCs w:val="false"/>
          <w:sz w:val="32"/>
          <w:szCs w:val="32"/>
        </w:rPr>
        <w:t>日四平市第八届人民代表大会常</w:t>
      </w:r>
    </w:p>
    <w:p>
      <w:pPr>
        <w:pStyle w:val="Normal"/>
        <w:spacing w:lineRule="exact" w:line="600"/>
        <w:ind w:firstLineChars="200" w:startChars="0" w:start="0" w:endChars="0" w:end="0"/>
        <w:jc w:val="start"/>
        <w:rPr>
          <w:rFonts w:ascii="楷体" w:hAnsi="楷体" w:eastAsia="楷体_GB2312" w:cs="楷体" w:hint="eastAsia"/>
          <w:b w:val="false"/>
          <w:bCs w:val="false"/>
          <w:sz w:val="32"/>
          <w:szCs w:val="32"/>
        </w:rPr>
      </w:pPr>
      <w:r>
        <w:rPr>
          <w:rFonts w:ascii="楷体" w:hAnsi="楷体" w:cs="楷体" w:hint="eastAsia" w:eastAsia="楷体_GB2312"/>
          <w:b w:val="false"/>
          <w:bCs w:val="false"/>
          <w:sz w:val="32"/>
          <w:szCs w:val="32"/>
        </w:rPr>
        <w:t xml:space="preserve">务委员会第四十一次会议通过  </w:t>
      </w:r>
      <w:r>
        <w:rPr>
          <w:rFonts w:eastAsia="楷体_GB2312" w:cs="楷体" w:hint="eastAsia" w:ascii="楷体" w:hAnsi="楷体"/>
          <w:b w:val="false"/>
          <w:bCs w:val="false"/>
          <w:sz w:val="32"/>
          <w:szCs w:val="32"/>
        </w:rPr>
        <w:t>2021</w:t>
      </w:r>
      <w:r>
        <w:rPr>
          <w:rFonts w:ascii="楷体" w:hAnsi="楷体" w:cs="楷体" w:hint="eastAsia" w:eastAsia="楷体_GB2312"/>
          <w:b w:val="false"/>
          <w:bCs w:val="false"/>
          <w:sz w:val="32"/>
          <w:szCs w:val="32"/>
        </w:rPr>
        <w:t>年</w:t>
      </w:r>
      <w:r>
        <w:rPr>
          <w:rFonts w:eastAsia="楷体_GB2312" w:cs="楷体" w:hint="eastAsia" w:ascii="楷体" w:hAnsi="楷体"/>
          <w:b w:val="false"/>
          <w:bCs w:val="false"/>
          <w:sz w:val="32"/>
          <w:szCs w:val="32"/>
        </w:rPr>
        <w:t>9</w:t>
      </w:r>
      <w:r>
        <w:rPr>
          <w:rFonts w:ascii="楷体" w:hAnsi="楷体" w:cs="楷体" w:hint="eastAsia" w:eastAsia="楷体_GB2312"/>
          <w:b w:val="false"/>
          <w:bCs w:val="false"/>
          <w:sz w:val="32"/>
          <w:szCs w:val="32"/>
        </w:rPr>
        <w:t>月</w:t>
      </w:r>
      <w:r>
        <w:rPr>
          <w:rFonts w:eastAsia="楷体_GB2312" w:cs="楷体" w:hint="eastAsia" w:ascii="楷体" w:hAnsi="楷体"/>
          <w:b w:val="false"/>
          <w:bCs w:val="false"/>
          <w:sz w:val="32"/>
          <w:szCs w:val="32"/>
        </w:rPr>
        <w:t>28</w:t>
      </w:r>
      <w:r>
        <w:rPr>
          <w:rFonts w:ascii="楷体" w:hAnsi="楷体" w:cs="楷体" w:hint="eastAsia" w:eastAsia="楷体_GB2312"/>
          <w:b w:val="false"/>
          <w:bCs w:val="false"/>
          <w:sz w:val="32"/>
          <w:szCs w:val="32"/>
        </w:rPr>
        <w:t>日</w:t>
      </w:r>
    </w:p>
    <w:p>
      <w:pPr>
        <w:pStyle w:val="Normal"/>
        <w:spacing w:lineRule="exact" w:line="600"/>
        <w:ind w:firstLineChars="200" w:startChars="0" w:start="0" w:endChars="0" w:end="0"/>
        <w:jc w:val="start"/>
        <w:rPr>
          <w:rFonts w:ascii="楷体" w:hAnsi="楷体" w:eastAsia="楷体_GB2312" w:cs="楷体" w:hint="eastAsia"/>
          <w:b w:val="false"/>
          <w:bCs w:val="false"/>
          <w:sz w:val="32"/>
          <w:szCs w:val="32"/>
        </w:rPr>
      </w:pPr>
      <w:r>
        <w:rPr>
          <w:rFonts w:ascii="楷体" w:hAnsi="楷体" w:cs="楷体" w:hint="eastAsia" w:eastAsia="楷体_GB2312"/>
          <w:b w:val="false"/>
          <w:bCs w:val="false"/>
          <w:sz w:val="32"/>
          <w:szCs w:val="32"/>
        </w:rPr>
        <w:t>吉林省第十三届人民代表大会常务委员会第三十次</w:t>
      </w:r>
    </w:p>
    <w:p>
      <w:pPr>
        <w:pStyle w:val="Normal"/>
        <w:spacing w:lineRule="exact" w:line="600"/>
        <w:ind w:firstLineChars="200" w:startChars="0" w:start="0" w:endChars="0" w:end="0"/>
        <w:jc w:val="start"/>
        <w:rPr>
          <w:rFonts w:ascii="楷体" w:hAnsi="楷体" w:eastAsia="楷体_GB2312" w:cs="楷体"/>
          <w:b w:val="false"/>
          <w:bCs w:val="false"/>
          <w:sz w:val="32"/>
          <w:szCs w:val="32"/>
        </w:rPr>
      </w:pPr>
      <w:r>
        <w:rPr>
          <w:rFonts w:ascii="楷体" w:hAnsi="楷体" w:cs="楷体" w:hint="eastAsia" w:eastAsia="楷体_GB2312"/>
          <w:b w:val="false"/>
          <w:bCs w:val="false"/>
          <w:sz w:val="32"/>
          <w:szCs w:val="32"/>
        </w:rPr>
        <w:t>会议批准）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jc w:val="center"/>
        <w:textAlignment w:val="auto"/>
        <w:rPr>
          <w:rFonts w:ascii="黑体" w:hAnsi="黑体" w:eastAsia="黑体" w:cs="黑体" w:hint="eastAsia"/>
          <w:b w:val="false"/>
          <w:bCs w:val="false"/>
          <w:color w:val="000000"/>
          <w:sz w:val="32"/>
          <w:szCs w:val="32"/>
          <w:u w:val="none"/>
        </w:rPr>
      </w:pPr>
      <w:r>
        <w:rPr>
          <w:rFonts w:eastAsia="黑体" w:cs="黑体" w:hint="eastAsia" w:ascii="黑体" w:hAnsi="黑体"/>
          <w:b w:val="false"/>
          <w:bCs w:val="false"/>
          <w:color w:val="000000"/>
          <w:sz w:val="32"/>
          <w:szCs w:val="32"/>
          <w:u w:val="none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jc w:val="center"/>
        <w:textAlignment w:val="auto"/>
        <w:rPr>
          <w:rFonts w:ascii="黑体" w:hAnsi="黑体" w:eastAsia="黑体" w:cs="黑体"/>
          <w:b w:val="false"/>
          <w:bCs w:val="false"/>
          <w:color w:val="000000"/>
          <w:sz w:val="32"/>
          <w:szCs w:val="32"/>
          <w:u w:val="none"/>
        </w:rPr>
      </w:pPr>
      <w:r>
        <w:rPr>
          <w:rFonts w:ascii="黑体" w:hAnsi="黑体" w:cs="黑体" w:hint="eastAsia" w:eastAsia="黑体"/>
          <w:b w:val="false"/>
          <w:bCs w:val="false"/>
          <w:color w:val="000000"/>
          <w:sz w:val="32"/>
          <w:szCs w:val="32"/>
          <w:u w:val="none"/>
        </w:rPr>
        <w:t>第一章 总则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 w:val="false"/>
          <w:color w:val="000000"/>
          <w:sz w:val="32"/>
          <w:szCs w:val="32"/>
          <w:u w:val="none"/>
        </w:rPr>
      </w:pPr>
      <w:r>
        <w:rPr>
          <w:rFonts w:eastAsia="黑体" w:cs="黑体" w:hint="eastAsia" w:ascii="黑体" w:hAnsi="黑体"/>
          <w:b w:val="false"/>
          <w:bCs w:val="false"/>
          <w:color w:val="000000"/>
          <w:sz w:val="32"/>
          <w:szCs w:val="32"/>
          <w:u w:val="none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textAlignment w:val="auto"/>
        <w:rPr>
          <w:rFonts w:ascii="仿宋_GB2312" w:hAnsi="仿宋_GB2312" w:eastAsia="仿宋_GB2312" w:cs="仿宋_GB2312" w:hint="eastAsia"/>
          <w:b w:val="false"/>
          <w:bCs w:val="false"/>
          <w:color w:val="000000"/>
          <w:sz w:val="32"/>
          <w:szCs w:val="32"/>
          <w:u w:val="none"/>
        </w:rPr>
      </w:pPr>
      <w:r>
        <w:rPr>
          <w:rFonts w:ascii="黑体" w:hAnsi="黑体" w:cs="黑体" w:hint="eastAsia" w:eastAsia="黑体"/>
          <w:b w:val="false"/>
          <w:bCs w:val="false"/>
          <w:color w:val="000000"/>
          <w:sz w:val="32"/>
          <w:szCs w:val="32"/>
          <w:u w:val="none"/>
        </w:rPr>
        <w:t>第一条</w:t>
      </w:r>
      <w:r>
        <w:rPr>
          <w:rFonts w:ascii="仿宋_GB2312" w:hAnsi="仿宋_GB2312" w:cs="仿宋_GB2312" w:hint="eastAsia" w:eastAsia="仿宋_GB2312"/>
          <w:b w:val="false"/>
          <w:bCs w:val="false"/>
          <w:color w:val="000000"/>
          <w:sz w:val="32"/>
          <w:szCs w:val="32"/>
          <w:u w:val="none"/>
        </w:rPr>
        <w:t xml:space="preserve"> 为了加强河道管理，改善河道生态环境，保障河道安全，根据有关法律法规，结合本市实际，制定本条例。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textAlignment w:val="auto"/>
        <w:rPr>
          <w:rFonts w:ascii="仿宋_GB2312" w:hAnsi="仿宋_GB2312" w:eastAsia="仿宋_GB2312" w:cs="仿宋_GB2312" w:hint="eastAsia"/>
          <w:b w:val="false"/>
          <w:bCs w:val="false"/>
          <w:color w:val="000000"/>
          <w:sz w:val="32"/>
          <w:szCs w:val="32"/>
          <w:u w:val="none"/>
        </w:rPr>
      </w:pPr>
      <w:r>
        <w:rPr>
          <w:rFonts w:ascii="黑体" w:hAnsi="黑体" w:cs="黑体" w:hint="eastAsia" w:eastAsia="黑体"/>
          <w:b w:val="false"/>
          <w:bCs w:val="false"/>
          <w:color w:val="000000"/>
          <w:sz w:val="32"/>
          <w:szCs w:val="32"/>
          <w:u w:val="none"/>
        </w:rPr>
        <w:t>第二条</w:t>
      </w:r>
      <w:r>
        <w:rPr>
          <w:rFonts w:ascii="仿宋_GB2312" w:hAnsi="仿宋_GB2312" w:cs="仿宋_GB2312" w:hint="eastAsia" w:eastAsia="仿宋_GB2312"/>
          <w:b w:val="false"/>
          <w:bCs w:val="false"/>
          <w:color w:val="000000"/>
          <w:sz w:val="32"/>
          <w:szCs w:val="32"/>
          <w:u w:val="none"/>
        </w:rPr>
        <w:t xml:space="preserve"> 本市行政区域内河道的监督、保护、开发、利用及其有关管理活动，适用本条例。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textAlignment w:val="auto"/>
        <w:rPr>
          <w:rFonts w:ascii="仿宋_GB2312" w:hAnsi="仿宋_GB2312" w:eastAsia="仿宋_GB2312" w:cs="仿宋_GB2312" w:hint="eastAsia"/>
          <w:b w:val="false"/>
          <w:bCs w:val="false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b w:val="false"/>
          <w:bCs w:val="false"/>
          <w:color w:val="000000"/>
          <w:sz w:val="32"/>
          <w:szCs w:val="32"/>
          <w:u w:val="none"/>
        </w:rPr>
        <w:t>本条例所称河道，包括湖泊、人工水道、行洪区、</w:t>
      </w:r>
      <w:r>
        <w:rPr>
          <w:rFonts w:ascii="仿宋_GB2312" w:hAnsi="仿宋_GB2312" w:cs="仿宋_GB2312" w:hint="eastAsia" w:eastAsia="仿宋_GB2312"/>
          <w:b w:val="false"/>
          <w:bCs w:val="false"/>
          <w:color w:val="000000"/>
          <w:sz w:val="32"/>
          <w:szCs w:val="32"/>
        </w:rPr>
        <w:t>蓄洪区、滞洪区。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textAlignment w:val="auto"/>
        <w:rPr>
          <w:rFonts w:ascii="仿宋_GB2312" w:hAnsi="仿宋_GB2312" w:eastAsia="仿宋_GB2312" w:cs="仿宋_GB2312" w:hint="eastAsia"/>
          <w:b w:val="false"/>
          <w:bCs w:val="false"/>
          <w:color w:val="000000"/>
          <w:sz w:val="32"/>
          <w:szCs w:val="32"/>
          <w:u w:val="none"/>
        </w:rPr>
      </w:pPr>
      <w:r>
        <w:rPr>
          <w:rFonts w:ascii="黑体" w:hAnsi="黑体" w:cs="黑体" w:hint="eastAsia" w:eastAsia="黑体"/>
          <w:b w:val="false"/>
          <w:bCs w:val="false"/>
          <w:color w:val="000000"/>
          <w:sz w:val="32"/>
          <w:szCs w:val="32"/>
          <w:u w:val="none"/>
        </w:rPr>
        <w:t>第三条</w:t>
      </w:r>
      <w:r>
        <w:rPr>
          <w:rFonts w:ascii="仿宋_GB2312" w:hAnsi="仿宋_GB2312" w:cs="仿宋_GB2312" w:hint="eastAsia" w:eastAsia="仿宋_GB2312"/>
          <w:b w:val="false"/>
          <w:bCs w:val="false"/>
          <w:color w:val="000000"/>
          <w:sz w:val="32"/>
          <w:szCs w:val="32"/>
          <w:u w:val="none"/>
        </w:rPr>
        <w:t xml:space="preserve"> 河道管理应当服从防洪总体安排，坚持统筹规划、保护利用原则，提升河道防洪排涝、雨洪利用、景观文化、保护生态等功能。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textAlignment w:val="auto"/>
        <w:rPr>
          <w:rFonts w:ascii="仿宋_GB2312" w:hAnsi="仿宋_GB2312" w:eastAsia="仿宋_GB2312" w:cs="仿宋_GB2312" w:hint="eastAsia"/>
          <w:b w:val="false"/>
          <w:bCs w:val="false"/>
          <w:color w:val="000000"/>
          <w:sz w:val="32"/>
          <w:szCs w:val="32"/>
          <w:u w:val="none"/>
        </w:rPr>
      </w:pPr>
      <w:r>
        <w:rPr>
          <w:rFonts w:ascii="黑体" w:hAnsi="黑体" w:cs="黑体" w:hint="eastAsia" w:eastAsia="黑体"/>
          <w:b w:val="false"/>
          <w:bCs w:val="false"/>
          <w:color w:val="000000"/>
          <w:sz w:val="32"/>
          <w:szCs w:val="32"/>
          <w:u w:val="none"/>
        </w:rPr>
        <w:t>第四条</w:t>
      </w:r>
      <w:r>
        <w:rPr>
          <w:rFonts w:ascii="仿宋_GB2312" w:hAnsi="仿宋_GB2312" w:cs="仿宋_GB2312" w:hint="eastAsia" w:eastAsia="仿宋_GB2312"/>
          <w:b w:val="false"/>
          <w:bCs w:val="false"/>
          <w:color w:val="000000"/>
          <w:sz w:val="32"/>
          <w:szCs w:val="32"/>
          <w:u w:val="none"/>
        </w:rPr>
        <w:t xml:space="preserve"> 任何单位和个人都有保护河道的义务，有权对危害河道管理的行为进行劝阻和举报。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600"/>
        <w:ind w:firstLineChars="0" w:firstLine="0" w:startChars="0" w:start="0" w:endChars="0" w:end="0"/>
        <w:jc w:val="center"/>
        <w:textAlignment w:val="auto"/>
        <w:rPr>
          <w:rFonts w:ascii="黑体" w:hAnsi="黑体" w:eastAsia="黑体" w:cs="黑体" w:hint="eastAsia"/>
          <w:b w:val="false"/>
          <w:bCs w:val="false"/>
          <w:color w:val="000000"/>
          <w:sz w:val="32"/>
          <w:szCs w:val="32"/>
          <w:u w:val="none"/>
        </w:rPr>
      </w:pPr>
      <w:r>
        <w:rPr>
          <w:rFonts w:eastAsia="黑体" w:cs="黑体" w:hint="eastAsia" w:ascii="黑体" w:hAnsi="黑体"/>
          <w:b w:val="false"/>
          <w:bCs w:val="false"/>
          <w:color w:val="000000"/>
          <w:sz w:val="32"/>
          <w:szCs w:val="32"/>
          <w:u w:val="none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600"/>
        <w:ind w:firstLineChars="0" w:firstLine="0" w:startChars="0" w:start="0" w:endChars="0" w:end="0"/>
        <w:jc w:val="center"/>
        <w:textAlignment w:val="auto"/>
        <w:rPr>
          <w:rFonts w:ascii="仿宋_GB2312" w:hAnsi="仿宋_GB2312" w:eastAsia="仿宋_GB2312" w:cs="仿宋_GB2312"/>
          <w:b w:val="false"/>
          <w:bCs w:val="false"/>
          <w:i w:val="false"/>
          <w:caps w:val="false"/>
          <w:smallCaps w:val="false"/>
          <w:color w:val="000000"/>
          <w:spacing w:val="0"/>
          <w:kern w:val="0"/>
          <w:sz w:val="32"/>
          <w:szCs w:val="32"/>
          <w:u w:val="none"/>
          <w:shd w:fill="FFFFFF" w:val="clear"/>
          <w:lang w:bidi="ar"/>
        </w:rPr>
      </w:pPr>
      <w:r>
        <w:rPr>
          <w:rFonts w:ascii="黑体" w:hAnsi="黑体" w:cs="黑体" w:hint="eastAsia" w:eastAsia="黑体"/>
          <w:b w:val="false"/>
          <w:bCs w:val="false"/>
          <w:color w:val="000000"/>
          <w:sz w:val="32"/>
          <w:szCs w:val="32"/>
          <w:u w:val="none"/>
        </w:rPr>
        <w:t xml:space="preserve">第二章 </w:t>
      </w:r>
      <w:r>
        <w:rPr>
          <w:rFonts w:ascii="黑体" w:hAnsi="黑体" w:cs="黑体" w:hint="eastAsia" w:eastAsia="黑体"/>
          <w:b w:val="false"/>
          <w:bCs w:val="false"/>
          <w:i w:val="false"/>
          <w:caps w:val="false"/>
          <w:smallCaps w:val="false"/>
          <w:color w:val="000000"/>
          <w:spacing w:val="0"/>
          <w:kern w:val="0"/>
          <w:sz w:val="32"/>
          <w:szCs w:val="32"/>
          <w:u w:val="none"/>
          <w:shd w:fill="FFFFFF" w:val="clear"/>
          <w:lang w:bidi="ar"/>
        </w:rPr>
        <w:t>监督与保护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 w:val="false"/>
          <w:i w:val="false"/>
          <w:caps w:val="false"/>
          <w:smallCaps w:val="false"/>
          <w:color w:val="000000"/>
          <w:spacing w:val="0"/>
          <w:kern w:val="0"/>
          <w:sz w:val="32"/>
          <w:szCs w:val="32"/>
          <w:u w:val="none"/>
          <w:shd w:fill="FFFFFF" w:val="clear"/>
          <w:lang w:bidi="ar"/>
        </w:rPr>
      </w:pPr>
      <w:r>
        <w:rPr>
          <w:rFonts w:eastAsia="黑体" w:cs="黑体" w:hint="eastAsia" w:ascii="黑体" w:hAnsi="黑体"/>
          <w:b w:val="false"/>
          <w:bCs w:val="false"/>
          <w:i w:val="false"/>
          <w:caps w:val="false"/>
          <w:smallCaps w:val="false"/>
          <w:color w:val="000000"/>
          <w:spacing w:val="0"/>
          <w:kern w:val="0"/>
          <w:sz w:val="32"/>
          <w:szCs w:val="32"/>
          <w:u w:val="none"/>
          <w:shd w:fill="FFFFFF" w:val="clear"/>
          <w:lang w:bidi="ar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textAlignment w:val="auto"/>
        <w:rPr>
          <w:rFonts w:ascii="仿宋_GB2312" w:hAnsi="仿宋_GB2312" w:eastAsia="仿宋_GB2312" w:cs="仿宋_GB2312" w:hint="eastAsia"/>
          <w:b w:val="false"/>
          <w:bCs w:val="false"/>
          <w:color w:val="000000"/>
          <w:sz w:val="32"/>
          <w:szCs w:val="32"/>
        </w:rPr>
      </w:pPr>
      <w:r>
        <w:rPr>
          <w:rFonts w:ascii="黑体" w:hAnsi="黑体" w:cs="黑体" w:hint="eastAsia" w:eastAsia="黑体"/>
          <w:b w:val="false"/>
          <w:bCs w:val="false"/>
          <w:color w:val="000000"/>
          <w:sz w:val="32"/>
          <w:szCs w:val="32"/>
          <w:u w:val="none"/>
        </w:rPr>
        <w:t xml:space="preserve">第五条 </w:t>
      </w:r>
      <w:r>
        <w:rPr>
          <w:rFonts w:ascii="仿宋_GB2312" w:hAnsi="仿宋_GB2312" w:cs="仿宋_GB2312" w:hint="eastAsia" w:eastAsia="仿宋_GB2312"/>
          <w:b w:val="false"/>
          <w:bCs w:val="false"/>
          <w:color w:val="000000"/>
          <w:sz w:val="32"/>
          <w:szCs w:val="32"/>
          <w:u w:val="none"/>
        </w:rPr>
        <w:t>市、县（市）区人民政府应当建立健全部门联动的河道管理机制，依法划定本行政区域内的河道管理范围，督促各级河（湖）长履行河道保护职责，依法</w:t>
      </w:r>
      <w:r>
        <w:rPr>
          <w:rFonts w:ascii="仿宋_GB2312" w:hAnsi="仿宋_GB2312" w:cs="仿宋_GB2312" w:hint="eastAsia" w:eastAsia="仿宋_GB2312"/>
          <w:b w:val="false"/>
          <w:bCs w:val="false"/>
          <w:i w:val="false"/>
          <w:caps w:val="false"/>
          <w:smallCaps w:val="false"/>
          <w:color w:val="000000"/>
          <w:spacing w:val="0"/>
          <w:kern w:val="0"/>
          <w:sz w:val="32"/>
          <w:szCs w:val="32"/>
          <w:u w:val="none"/>
          <w:shd w:fill="FFFFFF" w:val="clear"/>
          <w:lang w:bidi="ar"/>
        </w:rPr>
        <w:t>清退河道管理范围内的耕地和林地（护坡护岸林除外）等。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/>
        <w:ind w:firstLine="630" w:end="0"/>
        <w:jc w:val="start"/>
        <w:textAlignment w:val="auto"/>
        <w:rPr>
          <w:rFonts w:ascii="仿宋_GB2312" w:hAnsi="仿宋_GB2312" w:eastAsia="仿宋_GB2312" w:cs="仿宋_GB2312" w:hint="eastAsia"/>
          <w:b w:val="false"/>
          <w:bCs w:val="false"/>
          <w:color w:val="000000"/>
          <w:sz w:val="32"/>
          <w:szCs w:val="32"/>
          <w:u w:val="none"/>
        </w:rPr>
      </w:pPr>
      <w:r>
        <w:rPr>
          <w:rFonts w:ascii="黑体" w:hAnsi="黑体" w:cs="黑体" w:hint="eastAsia" w:eastAsia="黑体"/>
          <w:b w:val="false"/>
          <w:bCs w:val="false"/>
          <w:color w:val="000000"/>
          <w:sz w:val="32"/>
          <w:szCs w:val="32"/>
          <w:u w:val="none"/>
        </w:rPr>
        <w:t xml:space="preserve">第六条 </w:t>
      </w:r>
      <w:r>
        <w:rPr>
          <w:rFonts w:ascii="仿宋_GB2312" w:hAnsi="仿宋_GB2312" w:cs="仿宋_GB2312" w:hint="eastAsia" w:eastAsia="仿宋_GB2312"/>
          <w:b w:val="false"/>
          <w:bCs w:val="false"/>
          <w:color w:val="000000"/>
          <w:sz w:val="32"/>
          <w:szCs w:val="32"/>
          <w:u w:val="none"/>
        </w:rPr>
        <w:t>水行政主管部门是河道管理的主管部门，应当依法编制河道保护与治理规划、采砂规划和年度采砂计划，制定河道建设与整治年度计划、河道清淤疏浚年度计划和</w:t>
      </w:r>
      <w:r>
        <w:rPr>
          <w:rFonts w:ascii="仿宋" w:hAnsi="仿宋" w:cs="仿宋" w:hint="eastAsia" w:eastAsia="仿宋"/>
          <w:b w:val="false"/>
          <w:bCs w:val="false"/>
          <w:sz w:val="32"/>
          <w:szCs w:val="32"/>
          <w:u w:val="none"/>
        </w:rPr>
        <w:t>河道清障计划，</w:t>
      </w:r>
      <w:r>
        <w:rPr>
          <w:rFonts w:ascii="仿宋_GB2312" w:hAnsi="仿宋_GB2312" w:cs="仿宋_GB2312" w:hint="eastAsia" w:eastAsia="仿宋_GB2312"/>
          <w:b w:val="false"/>
          <w:bCs w:val="false"/>
          <w:color w:val="000000"/>
          <w:sz w:val="32"/>
          <w:szCs w:val="32"/>
          <w:u w:val="none"/>
        </w:rPr>
        <w:t>设置河道界桩和公告牌等。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color w:val="000000"/>
          <w:sz w:val="32"/>
          <w:szCs w:val="32"/>
        </w:rPr>
      </w:pPr>
      <w:r>
        <w:rPr>
          <w:rFonts w:ascii="黑体" w:hAnsi="黑体" w:cs="黑体" w:hint="eastAsia" w:eastAsia="黑体"/>
          <w:b w:val="false"/>
          <w:bCs w:val="false"/>
          <w:color w:val="000000"/>
          <w:sz w:val="32"/>
          <w:szCs w:val="32"/>
          <w:u w:val="none"/>
        </w:rPr>
        <w:t>第七条</w:t>
      </w:r>
      <w:r>
        <w:rPr>
          <w:rFonts w:ascii="仿宋_GB2312" w:hAnsi="仿宋_GB2312" w:cs="仿宋_GB2312" w:hint="eastAsia" w:eastAsia="仿宋_GB2312"/>
          <w:b w:val="false"/>
          <w:bCs w:val="false"/>
          <w:color w:val="000000"/>
          <w:sz w:val="32"/>
          <w:szCs w:val="32"/>
          <w:u w:val="none"/>
        </w:rPr>
        <w:t xml:space="preserve"> 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生态环境主管部门应当严格入河排污口设置审批，建立入河排污口档案，定期开展监督检查，依法拆除违法入河排污口。</w:t>
      </w:r>
    </w:p>
    <w:p>
      <w:pPr>
        <w:pStyle w:val="New"/>
        <w:keepNext w:val="false"/>
        <w:keepLines w:val="false"/>
        <w:pageBreakBefore w:val="false"/>
        <w:kinsoku w:val="true"/>
        <w:overflowPunct w:val="true"/>
        <w:autoSpaceDE w:val="true"/>
        <w:bidi w:val="0"/>
        <w:spacing w:lineRule="auto" w:line="360"/>
        <w:ind w:firstLine="642" w:end="0"/>
        <w:jc w:val="start"/>
        <w:rPr>
          <w:rFonts w:ascii="仿宋_GB2312" w:hAnsi="仿宋_GB2312" w:eastAsia="仿宋_GB2312" w:cs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建设单位新建、改建、扩建入河排污口的，应当在向生态环境部门申请前征得水行政主管部门同意。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b w:val="false"/>
          <w:bCs w:val="false"/>
          <w:color w:val="000000"/>
          <w:sz w:val="32"/>
          <w:szCs w:val="32"/>
          <w:u w:val="none"/>
        </w:rPr>
      </w:pPr>
      <w:r>
        <w:rPr>
          <w:rFonts w:ascii="黑体" w:hAnsi="黑体" w:cs="黑体" w:hint="eastAsia" w:eastAsia="黑体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  <w:u w:val="none"/>
          <w:shd w:fill="FFFFFF" w:val="clear"/>
        </w:rPr>
        <w:t>第八条</w:t>
      </w:r>
      <w:r>
        <w:rPr>
          <w:rFonts w:ascii="仿宋_GB2312" w:hAnsi="仿宋_GB2312" w:cs="仿宋_GB2312" w:hint="eastAsia" w:eastAsia="仿宋_GB2312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  <w:u w:val="none"/>
          <w:shd w:fill="FFFFFF" w:val="clear"/>
        </w:rPr>
        <w:t xml:space="preserve"> </w:t>
      </w:r>
      <w:r>
        <w:rPr>
          <w:rFonts w:ascii="仿宋_GB2312" w:hAnsi="仿宋_GB2312" w:cs="仿宋_GB2312" w:hint="eastAsia" w:eastAsia="仿宋_GB2312"/>
          <w:b w:val="false"/>
          <w:bCs w:val="false"/>
          <w:color w:val="000000"/>
          <w:sz w:val="32"/>
          <w:szCs w:val="32"/>
          <w:u w:val="none"/>
        </w:rPr>
        <w:t>住房和城乡建设主管部门应当加强排污管网的建设和改造，建设污水集中处理设施，提高污水处理能力。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textAlignment w:val="auto"/>
        <w:rPr>
          <w:rFonts w:ascii="仿宋_GB2312" w:hAnsi="仿宋_GB2312" w:eastAsia="仿宋_GB2312" w:cs="仿宋_GB2312" w:hint="eastAsia"/>
          <w:b w:val="false"/>
          <w:bCs w:val="false"/>
          <w:color w:val="000000"/>
          <w:sz w:val="32"/>
          <w:szCs w:val="32"/>
          <w:u w:val="none"/>
        </w:rPr>
      </w:pPr>
      <w:r>
        <w:rPr>
          <w:rFonts w:ascii="黑体" w:hAnsi="黑体" w:cs="黑体" w:hint="eastAsia" w:eastAsia="黑体"/>
          <w:b w:val="false"/>
          <w:bCs w:val="false"/>
          <w:color w:val="000000"/>
          <w:sz w:val="32"/>
          <w:szCs w:val="32"/>
          <w:u w:val="none"/>
        </w:rPr>
        <w:t xml:space="preserve">第九条 </w:t>
      </w:r>
      <w:r>
        <w:rPr>
          <w:rFonts w:ascii="仿宋_GB2312" w:hAnsi="仿宋_GB2312" w:cs="仿宋_GB2312" w:hint="eastAsia" w:eastAsia="仿宋_GB2312"/>
          <w:b w:val="false"/>
          <w:bCs w:val="false"/>
          <w:color w:val="000000"/>
          <w:sz w:val="32"/>
          <w:szCs w:val="32"/>
          <w:u w:val="none"/>
        </w:rPr>
        <w:t>农业农村主管部门应当控制农药和化肥的使用，对农药、化肥等包装废弃物和畜禽粪污进行资源化利用和无害化处理。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textAlignment w:val="auto"/>
        <w:rPr>
          <w:rFonts w:ascii="仿宋_GB2312" w:hAnsi="仿宋_GB2312" w:eastAsia="仿宋_GB2312" w:cs="仿宋_GB2312" w:hint="eastAsia"/>
          <w:b w:val="false"/>
          <w:bCs w:val="false"/>
          <w:color w:val="000000"/>
          <w:sz w:val="32"/>
          <w:szCs w:val="32"/>
          <w:u w:val="none"/>
        </w:rPr>
      </w:pPr>
      <w:r>
        <w:rPr>
          <w:rFonts w:ascii="黑体" w:hAnsi="黑体" w:cs="黑体" w:hint="eastAsia" w:eastAsia="黑体"/>
          <w:b w:val="false"/>
          <w:bCs w:val="false"/>
          <w:color w:val="000000"/>
          <w:sz w:val="32"/>
          <w:szCs w:val="32"/>
          <w:u w:val="none"/>
        </w:rPr>
        <w:t>第十条</w:t>
      </w:r>
      <w:r>
        <w:rPr>
          <w:rFonts w:ascii="仿宋_GB2312" w:hAnsi="仿宋_GB2312" w:cs="仿宋_GB2312" w:hint="eastAsia" w:eastAsia="仿宋_GB2312"/>
          <w:b w:val="false"/>
          <w:bCs w:val="false"/>
          <w:color w:val="000000"/>
          <w:sz w:val="32"/>
          <w:szCs w:val="32"/>
          <w:u w:val="none"/>
        </w:rPr>
        <w:t xml:space="preserve"> 禁止任何单位和个人从事下列行为：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b w:val="false"/>
          <w:bCs w:val="false"/>
          <w:color w:val="000000"/>
          <w:sz w:val="32"/>
          <w:szCs w:val="32"/>
          <w:u w:val="none"/>
        </w:rPr>
      </w:pPr>
      <w:r>
        <w:rPr>
          <w:rFonts w:ascii="仿宋_GB2312" w:hAnsi="仿宋_GB2312" w:cs="仿宋_GB2312" w:hint="eastAsia" w:eastAsia="仿宋_GB2312"/>
          <w:b w:val="false"/>
          <w:bCs w:val="false"/>
          <w:color w:val="000000"/>
          <w:sz w:val="32"/>
          <w:szCs w:val="32"/>
          <w:u w:val="none"/>
        </w:rPr>
        <w:t>（一）未经水行政主管部门同意新建、改建、扩建入河排污口；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b w:val="false"/>
          <w:bCs w:val="false"/>
          <w:color w:val="000000"/>
          <w:sz w:val="32"/>
          <w:szCs w:val="32"/>
          <w:u w:val="none"/>
        </w:rPr>
      </w:pPr>
      <w:r>
        <w:rPr>
          <w:rFonts w:ascii="仿宋_GB2312" w:hAnsi="仿宋_GB2312" w:cs="仿宋_GB2312" w:hint="eastAsia" w:eastAsia="仿宋_GB2312"/>
          <w:b w:val="false"/>
          <w:bCs w:val="false"/>
          <w:color w:val="000000"/>
          <w:sz w:val="32"/>
          <w:szCs w:val="32"/>
          <w:u w:val="none"/>
        </w:rPr>
        <w:t>（二）修建围堤、阻水渠道、阻水道路；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b w:val="false"/>
          <w:bCs w:val="false"/>
          <w:color w:val="000000"/>
          <w:sz w:val="32"/>
          <w:szCs w:val="32"/>
          <w:u w:val="none"/>
        </w:rPr>
      </w:pPr>
      <w:r>
        <w:rPr>
          <w:rFonts w:ascii="仿宋_GB2312" w:hAnsi="仿宋_GB2312" w:cs="仿宋_GB2312" w:hint="eastAsia" w:eastAsia="仿宋_GB2312"/>
          <w:b w:val="false"/>
          <w:bCs w:val="false"/>
          <w:color w:val="000000"/>
          <w:sz w:val="32"/>
          <w:szCs w:val="32"/>
          <w:u w:val="none"/>
        </w:rPr>
        <w:t>（三）在行洪河道种植阻碍行洪的林木、高杆植物；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b w:val="false"/>
          <w:bCs w:val="false"/>
          <w:color w:val="000000"/>
          <w:sz w:val="32"/>
          <w:szCs w:val="32"/>
          <w:u w:val="none"/>
        </w:rPr>
      </w:pPr>
      <w:r>
        <w:rPr>
          <w:rFonts w:ascii="仿宋_GB2312" w:hAnsi="仿宋_GB2312" w:cs="仿宋_GB2312" w:hint="eastAsia" w:eastAsia="仿宋_GB2312"/>
          <w:b w:val="false"/>
          <w:bCs w:val="false"/>
          <w:color w:val="000000"/>
          <w:sz w:val="32"/>
          <w:szCs w:val="32"/>
          <w:u w:val="none"/>
        </w:rPr>
        <w:t>（四）设置拦河渔具；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b w:val="false"/>
          <w:bCs w:val="false"/>
          <w:color w:val="000000"/>
          <w:sz w:val="32"/>
          <w:szCs w:val="32"/>
          <w:u w:val="none"/>
        </w:rPr>
      </w:pPr>
      <w:r>
        <w:rPr>
          <w:rFonts w:ascii="仿宋_GB2312" w:hAnsi="仿宋_GB2312" w:cs="仿宋_GB2312" w:hint="eastAsia" w:eastAsia="仿宋_GB2312"/>
          <w:b w:val="false"/>
          <w:bCs w:val="false"/>
          <w:color w:val="000000"/>
          <w:sz w:val="32"/>
          <w:szCs w:val="32"/>
          <w:u w:val="none"/>
        </w:rPr>
        <w:t>（五）弃置矿渣、石渣、煤灰、泥土、粪污、垃圾等废弃物；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b w:val="false"/>
          <w:bCs w:val="false"/>
          <w:color w:val="000000"/>
          <w:sz w:val="32"/>
          <w:szCs w:val="32"/>
          <w:u w:val="none"/>
        </w:rPr>
      </w:pPr>
      <w:r>
        <w:rPr>
          <w:rFonts w:ascii="仿宋_GB2312" w:hAnsi="仿宋_GB2312" w:cs="仿宋_GB2312" w:hint="eastAsia" w:eastAsia="仿宋_GB2312"/>
          <w:b w:val="false"/>
          <w:bCs w:val="false"/>
          <w:color w:val="000000"/>
          <w:sz w:val="32"/>
          <w:szCs w:val="32"/>
          <w:u w:val="none"/>
        </w:rPr>
        <w:t>（六）在堤防和护堤地从事开荒种地、开渠、钻探、打井、取土、采石、爆破、挖窖、建房（堤防管理房除外）、存放物料、放牧、葬坟、晒粮、挖筑鱼塘、开展集市贸易（城区堤路结合的堤防除外）、开采地下资源、进行考古发掘活动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b w:val="false"/>
          <w:bCs w:val="false"/>
          <w:color w:val="000000"/>
          <w:sz w:val="32"/>
          <w:szCs w:val="32"/>
          <w:u w:val="none"/>
        </w:rPr>
      </w:pPr>
      <w:r>
        <w:rPr>
          <w:rFonts w:ascii="仿宋_GB2312" w:hAnsi="仿宋_GB2312" w:cs="仿宋_GB2312" w:hint="eastAsia" w:eastAsia="仿宋_GB2312"/>
          <w:b w:val="false"/>
          <w:bCs w:val="false"/>
          <w:color w:val="000000"/>
          <w:sz w:val="32"/>
          <w:szCs w:val="32"/>
          <w:u w:val="none"/>
        </w:rPr>
        <w:t>（七）损毁河道界桩、公告牌；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b w:val="false"/>
          <w:bCs w:val="false"/>
          <w:color w:val="000000"/>
          <w:sz w:val="32"/>
          <w:szCs w:val="32"/>
          <w:u w:val="none"/>
        </w:rPr>
      </w:pPr>
      <w:r>
        <w:rPr>
          <w:rFonts w:ascii="仿宋_GB2312" w:hAnsi="仿宋_GB2312" w:cs="仿宋_GB2312" w:hint="eastAsia" w:eastAsia="仿宋_GB2312"/>
          <w:b w:val="false"/>
          <w:bCs w:val="false"/>
          <w:color w:val="000000"/>
          <w:sz w:val="32"/>
          <w:szCs w:val="32"/>
          <w:u w:val="none"/>
        </w:rPr>
        <w:t>（八）损毁河道堤防、护岸、闸坝等水利工程和防汛设施、水文监测和测量设施、河岸地质监测设施以及通信照明等设施；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b w:val="false"/>
          <w:bCs w:val="false"/>
          <w:color w:val="000000"/>
          <w:kern w:val="2"/>
          <w:sz w:val="32"/>
          <w:szCs w:val="32"/>
          <w:u w:val="none"/>
        </w:rPr>
      </w:pPr>
      <w:r>
        <w:rPr>
          <w:rFonts w:ascii="仿宋_GB2312" w:hAnsi="仿宋_GB2312" w:cs="仿宋_GB2312" w:hint="eastAsia" w:eastAsia="仿宋_GB2312"/>
          <w:b w:val="false"/>
          <w:bCs w:val="false"/>
          <w:color w:val="000000"/>
          <w:kern w:val="2"/>
          <w:sz w:val="32"/>
          <w:szCs w:val="32"/>
          <w:u w:val="none"/>
        </w:rPr>
        <w:t>（九）法律法规禁止的其他行为。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0" w:firstLine="0" w:startChars="0" w:start="0" w:endChars="0" w:end="0"/>
        <w:jc w:val="center"/>
        <w:textAlignment w:val="auto"/>
        <w:rPr>
          <w:rFonts w:ascii="黑体" w:hAnsi="黑体" w:eastAsia="黑体" w:cs="黑体" w:hint="eastAsia"/>
          <w:b w:val="false"/>
          <w:bCs w:val="false"/>
          <w:color w:val="000000"/>
          <w:kern w:val="2"/>
          <w:sz w:val="32"/>
          <w:szCs w:val="32"/>
          <w:u w:val="none"/>
        </w:rPr>
      </w:pPr>
      <w:r>
        <w:rPr>
          <w:rFonts w:eastAsia="黑体" w:cs="黑体" w:hint="eastAsia" w:ascii="黑体" w:hAnsi="黑体"/>
          <w:b w:val="false"/>
          <w:bCs w:val="false"/>
          <w:color w:val="000000"/>
          <w:kern w:val="2"/>
          <w:sz w:val="32"/>
          <w:szCs w:val="32"/>
          <w:u w:val="none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0" w:firstLine="0" w:startChars="0" w:start="0" w:endChars="0" w:end="0"/>
        <w:jc w:val="center"/>
        <w:textAlignment w:val="auto"/>
        <w:rPr>
          <w:rFonts w:ascii="黑体" w:hAnsi="黑体" w:eastAsia="黑体" w:cs="黑体" w:hint="eastAsia"/>
          <w:b w:val="false"/>
          <w:bCs w:val="false"/>
          <w:color w:val="000000"/>
          <w:sz w:val="32"/>
          <w:szCs w:val="32"/>
          <w:u w:val="none"/>
        </w:rPr>
      </w:pPr>
      <w:r>
        <w:rPr>
          <w:rFonts w:ascii="黑体" w:hAnsi="黑体" w:cs="黑体" w:hint="eastAsia" w:eastAsia="黑体"/>
          <w:b w:val="false"/>
          <w:bCs w:val="false"/>
          <w:color w:val="000000"/>
          <w:sz w:val="32"/>
          <w:szCs w:val="32"/>
          <w:u w:val="none"/>
        </w:rPr>
        <w:t>第三章 开发与利用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/>
        <w:ind w:firstLineChars="200" w:startChars="0" w:start="0" w:endChars="0" w:end="0"/>
        <w:jc w:val="start"/>
        <w:textAlignment w:val="auto"/>
        <w:rPr>
          <w:rFonts w:ascii="黑体" w:hAnsi="黑体" w:eastAsia="黑体" w:cs="黑体" w:hint="eastAsia"/>
          <w:b w:val="false"/>
          <w:bCs w:val="false"/>
          <w:color w:val="000000"/>
          <w:sz w:val="32"/>
          <w:szCs w:val="32"/>
          <w:u w:val="none"/>
        </w:rPr>
      </w:pPr>
      <w:r>
        <w:rPr>
          <w:rFonts w:eastAsia="黑体" w:cs="黑体" w:hint="eastAsia" w:ascii="黑体" w:hAnsi="黑体"/>
          <w:b w:val="false"/>
          <w:bCs w:val="false"/>
          <w:color w:val="000000"/>
          <w:sz w:val="32"/>
          <w:szCs w:val="32"/>
          <w:u w:val="none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/>
        <w:ind w:firstLineChars="200" w:startChars="0" w:start="0" w:endChars="0" w:end="0"/>
        <w:jc w:val="start"/>
        <w:textAlignment w:val="auto"/>
        <w:rPr>
          <w:rFonts w:ascii="仿宋_GB2312" w:hAnsi="仿宋_GB2312" w:eastAsia="仿宋_GB2312" w:cs="仿宋_GB2312" w:hint="eastAsia"/>
          <w:b w:val="false"/>
          <w:bCs w:val="false"/>
          <w:color w:val="000000"/>
          <w:sz w:val="32"/>
          <w:szCs w:val="32"/>
          <w:u w:val="none"/>
        </w:rPr>
      </w:pPr>
      <w:r>
        <w:rPr>
          <w:rFonts w:ascii="黑体" w:hAnsi="黑体" w:cs="黑体" w:hint="eastAsia" w:eastAsia="黑体"/>
          <w:b w:val="false"/>
          <w:bCs w:val="false"/>
          <w:color w:val="000000"/>
          <w:sz w:val="32"/>
          <w:szCs w:val="32"/>
          <w:u w:val="none"/>
        </w:rPr>
        <w:t>第十一条</w:t>
      </w:r>
      <w:r>
        <w:rPr>
          <w:rFonts w:ascii="仿宋_GB2312" w:hAnsi="仿宋_GB2312" w:cs="仿宋_GB2312" w:hint="eastAsia" w:eastAsia="仿宋_GB2312"/>
          <w:b w:val="false"/>
          <w:bCs w:val="false"/>
          <w:color w:val="000000"/>
          <w:sz w:val="32"/>
          <w:szCs w:val="32"/>
          <w:u w:val="none"/>
        </w:rPr>
        <w:t xml:space="preserve"> 河道的开发与利用应当服从河道的保护与治理规划，保持河势稳定、生态安全和行洪、航运的通畅。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/>
        <w:ind w:firstLine="630" w:end="0"/>
        <w:jc w:val="start"/>
        <w:textAlignment w:val="auto"/>
        <w:rPr>
          <w:rFonts w:ascii="仿宋_GB2312" w:hAnsi="仿宋_GB2312" w:eastAsia="仿宋_GB2312" w:cs="仿宋_GB2312" w:hint="eastAsia"/>
          <w:b w:val="false"/>
          <w:bCs w:val="false"/>
          <w:color w:val="000000"/>
          <w:sz w:val="32"/>
          <w:szCs w:val="32"/>
          <w:u w:val="none"/>
        </w:rPr>
      </w:pPr>
      <w:r>
        <w:rPr>
          <w:rFonts w:ascii="黑体" w:hAnsi="黑体" w:cs="黑体" w:hint="eastAsia" w:eastAsia="黑体"/>
          <w:b w:val="false"/>
          <w:bCs w:val="false"/>
          <w:color w:val="000000"/>
          <w:sz w:val="32"/>
          <w:szCs w:val="32"/>
          <w:u w:val="none"/>
        </w:rPr>
        <w:t>第十二条</w:t>
      </w:r>
      <w:r>
        <w:rPr>
          <w:rFonts w:ascii="仿宋_GB2312" w:hAnsi="仿宋_GB2312" w:cs="仿宋_GB2312" w:hint="eastAsia" w:eastAsia="仿宋_GB2312"/>
          <w:b w:val="false"/>
          <w:bCs w:val="false"/>
          <w:color w:val="000000"/>
          <w:sz w:val="32"/>
          <w:szCs w:val="32"/>
          <w:u w:val="none"/>
        </w:rPr>
        <w:t xml:space="preserve"> 经水行政主管部门同意并经有关主管部门依法许可后，可以在河道管理范围内建设开发水利、防治水害、整治河道的各类工程和桥梁、码头、道路、渡口、管道、缆线等建（构）筑物及设施。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/>
        <w:ind w:firstLine="630" w:end="0"/>
        <w:jc w:val="start"/>
        <w:textAlignment w:val="auto"/>
        <w:rPr>
          <w:rFonts w:ascii="仿宋_GB2312" w:hAnsi="仿宋_GB2312" w:eastAsia="仿宋_GB2312" w:cs="仿宋_GB2312" w:hint="eastAsia"/>
          <w:b w:val="false"/>
          <w:bCs w:val="false"/>
          <w:color w:val="000000"/>
          <w:sz w:val="32"/>
          <w:szCs w:val="32"/>
          <w:u w:val="none"/>
        </w:rPr>
      </w:pPr>
      <w:r>
        <w:rPr>
          <w:rFonts w:ascii="仿宋_GB2312" w:hAnsi="仿宋_GB2312" w:cs="仿宋_GB2312" w:hint="eastAsia" w:eastAsia="仿宋_GB2312"/>
          <w:b w:val="false"/>
          <w:bCs w:val="false"/>
          <w:color w:val="000000"/>
          <w:sz w:val="32"/>
          <w:szCs w:val="32"/>
          <w:u w:val="none"/>
        </w:rPr>
        <w:t>建设项目占用或者影响水利设施的，建设单位应当修复、加固或者修建有效替代工程，恢复原有设施的功能。因建设项目确需迁建、改建、拆除原有设施的，应当承担所需费用并补偿损失。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b w:val="false"/>
          <w:bCs w:val="false"/>
          <w:color w:val="000000"/>
          <w:sz w:val="32"/>
          <w:szCs w:val="32"/>
          <w:u w:val="none"/>
        </w:rPr>
      </w:pPr>
      <w:r>
        <w:rPr>
          <w:rFonts w:ascii="黑体" w:hAnsi="黑体" w:cs="黑体" w:hint="eastAsia" w:eastAsia="黑体"/>
          <w:b w:val="false"/>
          <w:bCs w:val="false"/>
          <w:color w:val="000000"/>
          <w:sz w:val="32"/>
          <w:szCs w:val="32"/>
          <w:u w:val="none"/>
        </w:rPr>
        <w:t>第十三条</w:t>
      </w:r>
      <w:r>
        <w:rPr>
          <w:rFonts w:ascii="仿宋_GB2312" w:hAnsi="仿宋_GB2312" w:cs="仿宋_GB2312" w:hint="eastAsia" w:eastAsia="仿宋_GB2312"/>
          <w:b w:val="false"/>
          <w:bCs w:val="false"/>
          <w:color w:val="000000"/>
          <w:sz w:val="32"/>
          <w:szCs w:val="32"/>
          <w:u w:val="none"/>
        </w:rPr>
        <w:t xml:space="preserve"> 经水行政主管部门依法许可后，可以在堤防和护堤地外的河道管理范围内挖筑鱼塘从事水产养殖。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b w:val="false"/>
          <w:bCs w:val="false"/>
          <w:color w:val="000000"/>
          <w:sz w:val="32"/>
          <w:szCs w:val="32"/>
          <w:u w:val="none"/>
        </w:rPr>
      </w:pPr>
      <w:r>
        <w:rPr>
          <w:rFonts w:ascii="仿宋_GB2312" w:hAnsi="仿宋_GB2312" w:cs="仿宋_GB2312" w:hint="eastAsia" w:eastAsia="仿宋_GB2312"/>
          <w:b w:val="false"/>
          <w:bCs w:val="false"/>
          <w:color w:val="000000"/>
          <w:sz w:val="32"/>
          <w:szCs w:val="32"/>
          <w:u w:val="none"/>
        </w:rPr>
        <w:t>从事水产养殖的，应当保护水域生态环境，科学确定养殖密度，合理投饵和使用药物，防止污染水环境。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b w:val="false"/>
          <w:bCs w:val="false"/>
          <w:color w:val="000000"/>
          <w:sz w:val="32"/>
          <w:szCs w:val="32"/>
          <w:u w:val="none"/>
        </w:rPr>
      </w:pPr>
      <w:r>
        <w:rPr>
          <w:rFonts w:ascii="黑体" w:hAnsi="黑体" w:cs="黑体" w:hint="eastAsia" w:eastAsia="黑体"/>
          <w:b w:val="false"/>
          <w:bCs w:val="false"/>
          <w:color w:val="000000"/>
          <w:sz w:val="32"/>
          <w:szCs w:val="32"/>
          <w:u w:val="none"/>
        </w:rPr>
        <w:t>第十四条</w:t>
      </w:r>
      <w:r>
        <w:rPr>
          <w:rFonts w:ascii="仿宋_GB2312" w:hAnsi="仿宋_GB2312" w:cs="仿宋_GB2312" w:hint="eastAsia" w:eastAsia="仿宋_GB2312"/>
          <w:b w:val="false"/>
          <w:bCs w:val="false"/>
          <w:color w:val="000000"/>
          <w:sz w:val="32"/>
          <w:szCs w:val="32"/>
          <w:u w:val="none"/>
        </w:rPr>
        <w:t xml:space="preserve"> 经水行政主管部门依法许可后，可以在河道管理范围内从事采砂活动。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b w:val="false"/>
          <w:bCs w:val="false"/>
          <w:color w:val="000000"/>
          <w:sz w:val="32"/>
          <w:szCs w:val="32"/>
          <w:u w:val="none"/>
        </w:rPr>
      </w:pPr>
      <w:r>
        <w:rPr>
          <w:rFonts w:ascii="仿宋_GB2312" w:hAnsi="仿宋_GB2312" w:cs="仿宋_GB2312" w:hint="eastAsia" w:eastAsia="仿宋_GB2312"/>
          <w:b w:val="false"/>
          <w:bCs w:val="false"/>
          <w:color w:val="000000"/>
          <w:sz w:val="32"/>
          <w:szCs w:val="32"/>
          <w:u w:val="none"/>
        </w:rPr>
        <w:t>从事采砂活动的，应当及时清理弃渣、回填开挖面，对存放沙、石、土的裸露地面进行生态治理，恢复生态植被。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b w:val="false"/>
          <w:bCs w:val="false"/>
          <w:color w:val="000000"/>
          <w:sz w:val="32"/>
          <w:szCs w:val="32"/>
          <w:u w:val="none"/>
        </w:rPr>
      </w:pPr>
      <w:r>
        <w:rPr>
          <w:rFonts w:ascii="黑体" w:hAnsi="黑体" w:cs="黑体" w:hint="eastAsia" w:eastAsia="黑体"/>
          <w:b w:val="false"/>
          <w:bCs w:val="false"/>
          <w:color w:val="000000"/>
          <w:sz w:val="32"/>
          <w:szCs w:val="32"/>
          <w:u w:val="none"/>
        </w:rPr>
        <w:t>第十五条</w:t>
      </w:r>
      <w:r>
        <w:rPr>
          <w:rFonts w:ascii="仿宋_GB2312" w:hAnsi="仿宋_GB2312" w:cs="仿宋_GB2312" w:hint="eastAsia" w:eastAsia="仿宋_GB2312"/>
          <w:b w:val="false"/>
          <w:bCs w:val="false"/>
          <w:color w:val="000000"/>
          <w:sz w:val="32"/>
          <w:szCs w:val="32"/>
          <w:u w:val="none"/>
        </w:rPr>
        <w:t xml:space="preserve"> 经水行政主管部门同意并经有关部门依法许可后，可以在河道管理范围内从事旅游、文化、体育项目。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b w:val="false"/>
          <w:bCs w:val="false"/>
          <w:color w:val="000000"/>
          <w:sz w:val="32"/>
          <w:szCs w:val="32"/>
          <w:u w:val="none"/>
        </w:rPr>
      </w:pPr>
      <w:r>
        <w:rPr>
          <w:rFonts w:ascii="仿宋_GB2312" w:hAnsi="仿宋_GB2312" w:cs="仿宋_GB2312" w:hint="eastAsia" w:eastAsia="仿宋_GB2312"/>
          <w:b w:val="false"/>
          <w:bCs w:val="false"/>
          <w:color w:val="000000"/>
          <w:sz w:val="32"/>
          <w:szCs w:val="32"/>
          <w:u w:val="none"/>
        </w:rPr>
        <w:t>从事旅游、文化、体育项目的，应当采取有效的安全防护和环境保护措施。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0" w:firstLine="0" w:startChars="0" w:start="0" w:endChars="0" w:end="0"/>
        <w:jc w:val="center"/>
        <w:textAlignment w:val="auto"/>
        <w:rPr>
          <w:rFonts w:ascii="黑体" w:hAnsi="黑体" w:eastAsia="黑体" w:cs="黑体" w:hint="eastAsia"/>
          <w:b w:val="false"/>
          <w:bCs w:val="false"/>
          <w:color w:val="000000"/>
          <w:sz w:val="32"/>
          <w:szCs w:val="32"/>
          <w:u w:val="none"/>
        </w:rPr>
      </w:pPr>
      <w:r>
        <w:rPr>
          <w:rFonts w:eastAsia="黑体" w:cs="黑体" w:hint="eastAsia" w:ascii="黑体" w:hAnsi="黑体"/>
          <w:b w:val="false"/>
          <w:bCs w:val="false"/>
          <w:color w:val="000000"/>
          <w:sz w:val="32"/>
          <w:szCs w:val="32"/>
          <w:u w:val="none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0" w:firstLine="0" w:startChars="0" w:start="0" w:endChars="0" w:end="0"/>
        <w:jc w:val="center"/>
        <w:textAlignment w:val="auto"/>
        <w:rPr>
          <w:rFonts w:ascii="黑体" w:hAnsi="黑体" w:eastAsia="黑体" w:cs="黑体" w:hint="eastAsia"/>
          <w:b w:val="false"/>
          <w:bCs w:val="false"/>
          <w:color w:val="000000"/>
          <w:sz w:val="32"/>
          <w:szCs w:val="32"/>
          <w:u w:val="none"/>
        </w:rPr>
      </w:pPr>
      <w:r>
        <w:rPr>
          <w:rFonts w:ascii="黑体" w:hAnsi="黑体" w:cs="黑体" w:hint="eastAsia" w:eastAsia="黑体"/>
          <w:b w:val="false"/>
          <w:bCs w:val="false"/>
          <w:color w:val="000000"/>
          <w:sz w:val="32"/>
          <w:szCs w:val="32"/>
          <w:u w:val="none"/>
        </w:rPr>
        <w:t>第四章 法律责任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jc w:val="both"/>
        <w:textAlignment w:val="auto"/>
        <w:rPr>
          <w:rFonts w:ascii="黑体" w:hAnsi="黑体" w:eastAsia="黑体" w:cs="Times New Roman" w:hint="eastAsia"/>
          <w:b w:val="false"/>
          <w:bCs w:val="false"/>
          <w:color w:val="000000"/>
          <w:kern w:val="2"/>
          <w:sz w:val="32"/>
          <w:szCs w:val="32"/>
          <w:u w:val="none"/>
          <w:shd w:fill="auto" w:val="clear"/>
        </w:rPr>
      </w:pPr>
      <w:r>
        <w:rPr>
          <w:rFonts w:eastAsia="黑体" w:cs="Times New Roman" w:hint="eastAsia" w:ascii="黑体" w:hAnsi="黑体"/>
          <w:b w:val="false"/>
          <w:bCs w:val="false"/>
          <w:color w:val="000000"/>
          <w:kern w:val="2"/>
          <w:sz w:val="32"/>
          <w:szCs w:val="32"/>
          <w:u w:val="none"/>
          <w:shd w:fill="auto" w:val="clear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jc w:val="both"/>
        <w:textAlignment w:val="auto"/>
        <w:rPr>
          <w:rFonts w:ascii="黑体" w:hAnsi="黑体" w:eastAsia="黑体" w:cs="黑体" w:hint="eastAsia"/>
          <w:b w:val="false"/>
          <w:bCs w:val="false"/>
          <w:color w:val="000000"/>
          <w:kern w:val="2"/>
          <w:sz w:val="32"/>
          <w:szCs w:val="32"/>
          <w:u w:val="none"/>
        </w:rPr>
      </w:pPr>
      <w:r>
        <w:rPr>
          <w:rFonts w:ascii="黑体" w:hAnsi="黑体" w:cs="Times New Roman" w:hint="eastAsia" w:eastAsia="黑体"/>
          <w:b w:val="false"/>
          <w:bCs w:val="false"/>
          <w:color w:val="000000"/>
          <w:kern w:val="2"/>
          <w:sz w:val="32"/>
          <w:szCs w:val="32"/>
          <w:u w:val="none"/>
          <w:shd w:fill="auto" w:val="clear"/>
        </w:rPr>
        <w:t>第十六条</w:t>
      </w:r>
      <w:r>
        <w:rPr>
          <w:rFonts w:ascii="黑体" w:hAnsi="黑体" w:cs="黑体" w:hint="eastAsia" w:eastAsia="黑体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32"/>
          <w:szCs w:val="32"/>
          <w:shd w:fill="auto" w:val="clear"/>
        </w:rPr>
        <w:t xml:space="preserve"> </w:t>
      </w:r>
      <w:r>
        <w:rPr>
          <w:rFonts w:ascii="仿宋_GB2312" w:hAnsi="仿宋_GB2312" w:cs="仿宋_GB2312" w:hint="eastAsia" w:eastAsia="仿宋_GB2312"/>
          <w:b w:val="false"/>
          <w:bCs w:val="false"/>
          <w:color w:val="000000"/>
          <w:kern w:val="2"/>
          <w:sz w:val="32"/>
          <w:szCs w:val="32"/>
          <w:shd w:fill="auto" w:val="clear"/>
        </w:rPr>
        <w:t>违反本条例规定，法律法规已有处罚规定的，从其规定。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b w:val="false"/>
          <w:bCs w:val="false"/>
          <w:color w:val="000000"/>
          <w:sz w:val="32"/>
          <w:szCs w:val="32"/>
          <w:u w:val="none"/>
        </w:rPr>
      </w:pPr>
      <w:r>
        <w:rPr>
          <w:rFonts w:ascii="黑体" w:hAnsi="黑体" w:cs="黑体" w:hint="eastAsia" w:eastAsia="黑体"/>
          <w:b w:val="false"/>
          <w:bCs w:val="false"/>
          <w:color w:val="000000"/>
          <w:sz w:val="32"/>
          <w:szCs w:val="32"/>
          <w:u w:val="none"/>
        </w:rPr>
        <w:t xml:space="preserve">第十七条 </w:t>
      </w:r>
      <w:r>
        <w:rPr>
          <w:rFonts w:ascii="仿宋_GB2312" w:hAnsi="仿宋_GB2312" w:cs="仿宋_GB2312" w:hint="eastAsia" w:eastAsia="仿宋_GB2312"/>
          <w:b w:val="false"/>
          <w:bCs w:val="false"/>
          <w:color w:val="000000"/>
          <w:sz w:val="32"/>
          <w:szCs w:val="32"/>
          <w:u w:val="none"/>
        </w:rPr>
        <w:t>违反本条例第十条第一项规定的，由水行政主管部门责令限期拆除，处二万元以上十万元以下罚款；逾期不拆除的，强制拆除，所需费用由违法者承担，处十万元以上五十万元以下罚款；情节严重的，可以责令停产整治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b w:val="false"/>
          <w:bCs w:val="false"/>
          <w:color w:val="000000"/>
          <w:sz w:val="32"/>
          <w:szCs w:val="32"/>
          <w:u w:val="none"/>
        </w:rPr>
      </w:pPr>
      <w:r>
        <w:rPr>
          <w:rFonts w:ascii="黑体" w:hAnsi="黑体" w:cs="黑体" w:hint="eastAsia" w:eastAsia="黑体"/>
          <w:b w:val="false"/>
          <w:bCs w:val="false"/>
          <w:color w:val="000000"/>
          <w:sz w:val="32"/>
          <w:szCs w:val="32"/>
          <w:u w:val="none"/>
        </w:rPr>
        <w:t>第十八条</w:t>
      </w:r>
      <w:r>
        <w:rPr>
          <w:rFonts w:ascii="仿宋_GB2312" w:hAnsi="仿宋_GB2312" w:cs="仿宋_GB2312" w:hint="eastAsia" w:eastAsia="仿宋_GB2312"/>
          <w:b w:val="false"/>
          <w:bCs w:val="false"/>
          <w:color w:val="000000"/>
          <w:sz w:val="32"/>
          <w:szCs w:val="32"/>
          <w:u w:val="none"/>
        </w:rPr>
        <w:t xml:space="preserve"> 违反本条例第十条第二至八项规定的，由水行政主管部门按照下列规定予以处罚：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b w:val="false"/>
          <w:bCs w:val="false"/>
          <w:color w:val="000000"/>
          <w:sz w:val="32"/>
          <w:szCs w:val="32"/>
          <w:u w:val="none"/>
        </w:rPr>
      </w:pPr>
      <w:r>
        <w:rPr>
          <w:rFonts w:ascii="仿宋_GB2312" w:hAnsi="仿宋_GB2312" w:cs="仿宋_GB2312" w:hint="eastAsia" w:eastAsia="仿宋_GB2312"/>
          <w:b w:val="false"/>
          <w:bCs w:val="false"/>
          <w:color w:val="000000"/>
          <w:sz w:val="32"/>
          <w:szCs w:val="32"/>
          <w:u w:val="none"/>
        </w:rPr>
        <w:t>（一）违反第二至五项规定之一的，责令其纠正违法行为，恢复原状或者采取其他补救措施，并视情节和危害程度，可以处一万元以上五万元以下罚款。对可能导致水体污染的行为，依据水污染防治的法律法规进行处罚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b w:val="false"/>
          <w:bCs w:val="false"/>
          <w:color w:val="000000"/>
          <w:sz w:val="32"/>
          <w:szCs w:val="32"/>
          <w:u w:val="none"/>
        </w:rPr>
      </w:pPr>
      <w:r>
        <w:rPr>
          <w:rFonts w:ascii="仿宋_GB2312" w:hAnsi="仿宋_GB2312" w:cs="仿宋_GB2312" w:hint="eastAsia" w:eastAsia="仿宋_GB2312"/>
          <w:b w:val="false"/>
          <w:bCs w:val="false"/>
          <w:color w:val="000000"/>
          <w:sz w:val="32"/>
          <w:szCs w:val="32"/>
          <w:u w:val="none"/>
        </w:rPr>
        <w:t>（二）违反第六项规定的，责令其纠正违法行为，恢复原状，采取补救措施，没收违法所得，赔偿损失，可以处一万元以上五万元以下罚款；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b w:val="false"/>
          <w:bCs w:val="false"/>
          <w:color w:val="000000"/>
          <w:kern w:val="2"/>
          <w:sz w:val="32"/>
          <w:szCs w:val="32"/>
          <w:u w:val="none"/>
        </w:rPr>
      </w:pPr>
      <w:r>
        <w:rPr>
          <w:rFonts w:ascii="仿宋_GB2312" w:hAnsi="仿宋_GB2312" w:cs="仿宋_GB2312" w:hint="eastAsia" w:eastAsia="仿宋_GB2312"/>
          <w:b w:val="false"/>
          <w:bCs w:val="false"/>
          <w:color w:val="000000"/>
          <w:sz w:val="32"/>
          <w:szCs w:val="32"/>
          <w:u w:val="none"/>
        </w:rPr>
        <w:t>（三）</w:t>
      </w:r>
      <w:r>
        <w:rPr>
          <w:rFonts w:ascii="仿宋_GB2312" w:hAnsi="仿宋_GB2312" w:cs="仿宋_GB2312" w:hint="eastAsia" w:eastAsia="仿宋_GB2312"/>
          <w:b w:val="false"/>
          <w:bCs w:val="false"/>
          <w:color w:val="000000"/>
          <w:kern w:val="2"/>
          <w:sz w:val="32"/>
          <w:szCs w:val="32"/>
          <w:u w:val="none"/>
        </w:rPr>
        <w:t>违反第七项规定</w:t>
      </w:r>
      <w:r>
        <w:rPr>
          <w:rFonts w:ascii="仿宋_GB2312" w:hAnsi="仿宋_GB2312" w:cs="仿宋_GB2312" w:hint="eastAsia" w:eastAsia="仿宋_GB2312"/>
          <w:b w:val="false"/>
          <w:bCs w:val="false"/>
          <w:color w:val="000000"/>
          <w:sz w:val="32"/>
          <w:szCs w:val="32"/>
          <w:u w:val="none"/>
        </w:rPr>
        <w:t>的，</w:t>
      </w:r>
      <w:r>
        <w:rPr>
          <w:rFonts w:ascii="仿宋_GB2312" w:hAnsi="仿宋_GB2312" w:cs="仿宋_GB2312" w:hint="eastAsia" w:eastAsia="仿宋_GB2312"/>
          <w:b w:val="false"/>
          <w:bCs w:val="false"/>
          <w:color w:val="000000"/>
          <w:kern w:val="2"/>
          <w:sz w:val="32"/>
          <w:szCs w:val="32"/>
          <w:u w:val="none"/>
        </w:rPr>
        <w:t>责令其纠正违法行为，恢复原状，可以处一千元以上五千元以下罚款；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600"/>
        <w:ind w:firstLine="630" w:end="0"/>
        <w:jc w:val="start"/>
        <w:textAlignment w:val="auto"/>
        <w:rPr>
          <w:rFonts w:ascii="仿宋_GB2312" w:hAnsi="仿宋_GB2312" w:eastAsia="仿宋_GB2312" w:cs="仿宋_GB2312" w:hint="eastAsia"/>
          <w:b w:val="false"/>
          <w:bCs w:val="false"/>
          <w:color w:val="000000"/>
          <w:sz w:val="32"/>
          <w:szCs w:val="32"/>
          <w:u w:val="none"/>
        </w:rPr>
      </w:pPr>
      <w:r>
        <w:rPr>
          <w:rFonts w:ascii="仿宋_GB2312" w:hAnsi="仿宋_GB2312" w:cs="仿宋_GB2312" w:hint="eastAsia" w:eastAsia="仿宋_GB2312"/>
          <w:b w:val="false"/>
          <w:bCs w:val="false"/>
          <w:color w:val="000000"/>
          <w:kern w:val="2"/>
          <w:sz w:val="32"/>
          <w:szCs w:val="32"/>
          <w:u w:val="none"/>
        </w:rPr>
        <w:t>（四）违反第八项规定的，责令其纠正违法行为，恢复原状，可以处一万元以上五万元以下罚款。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0" w:firstLine="0" w:startChars="0" w:start="0" w:endChars="0" w:end="0"/>
        <w:jc w:val="center"/>
        <w:textAlignment w:val="auto"/>
        <w:rPr>
          <w:rFonts w:ascii="黑体" w:hAnsi="黑体" w:eastAsia="黑体" w:cs="黑体" w:hint="eastAsia"/>
          <w:b w:val="false"/>
          <w:bCs w:val="false"/>
          <w:color w:val="000000"/>
          <w:sz w:val="32"/>
          <w:szCs w:val="32"/>
          <w:u w:val="none"/>
        </w:rPr>
      </w:pPr>
      <w:r>
        <w:rPr>
          <w:rFonts w:eastAsia="黑体" w:cs="黑体" w:hint="eastAsia" w:ascii="黑体" w:hAnsi="黑体"/>
          <w:b w:val="false"/>
          <w:bCs w:val="false"/>
          <w:color w:val="000000"/>
          <w:sz w:val="32"/>
          <w:szCs w:val="32"/>
          <w:u w:val="none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/>
        <w:ind w:firstLineChars="0" w:firstLine="0" w:startChars="0" w:start="0" w:endChars="0" w:end="0"/>
        <w:jc w:val="center"/>
        <w:textAlignment w:val="auto"/>
        <w:rPr>
          <w:rFonts w:ascii="仿宋_GB2312" w:hAnsi="仿宋_GB2312" w:eastAsia="仿宋_GB2312" w:cs="仿宋_GB2312" w:hint="eastAsia"/>
          <w:b w:val="false"/>
          <w:bCs w:val="false"/>
          <w:color w:val="000000"/>
          <w:sz w:val="32"/>
          <w:szCs w:val="32"/>
          <w:u w:val="none"/>
        </w:rPr>
      </w:pPr>
      <w:r>
        <w:rPr>
          <w:rFonts w:ascii="黑体" w:hAnsi="黑体" w:cs="黑体" w:hint="eastAsia" w:eastAsia="黑体"/>
          <w:b w:val="false"/>
          <w:bCs w:val="false"/>
          <w:color w:val="000000"/>
          <w:sz w:val="32"/>
          <w:szCs w:val="32"/>
          <w:u w:val="none"/>
        </w:rPr>
        <w:t>第五章 附则</w:t>
      </w:r>
    </w:p>
    <w:p>
      <w:pPr>
        <w:pStyle w:val="Normal"/>
        <w:ind w:firstLineChars="200" w:startChars="0" w:start="0" w:endChars="0" w:end="0"/>
        <w:rPr>
          <w:rFonts w:ascii="黑体" w:hAnsi="黑体" w:eastAsia="黑体" w:cs="黑体" w:hint="eastAsia"/>
          <w:b w:val="false"/>
          <w:bCs w:val="false"/>
          <w:color w:val="000000"/>
          <w:sz w:val="32"/>
          <w:szCs w:val="32"/>
          <w:u w:val="none"/>
        </w:rPr>
      </w:pPr>
      <w:r>
        <w:rPr>
          <w:rFonts w:eastAsia="黑体" w:cs="黑体" w:hint="eastAsia" w:ascii="黑体" w:hAnsi="黑体"/>
          <w:b w:val="false"/>
          <w:bCs w:val="false"/>
          <w:color w:val="000000"/>
          <w:sz w:val="32"/>
          <w:szCs w:val="32"/>
          <w:u w:val="none"/>
        </w:rPr>
      </w:r>
    </w:p>
    <w:p>
      <w:pPr>
        <w:pStyle w:val="Normal"/>
        <w:ind w:firstLineChars="200" w:startChars="0" w:start="0" w:endChars="0" w:end="0"/>
        <w:rPr>
          <w:rFonts w:ascii="Times New Roman" w:hAnsi="Times New Roman" w:eastAsia="宋体" w:cs="Times New Roman"/>
          <w:szCs w:val="24"/>
        </w:rPr>
      </w:pPr>
      <w:r>
        <w:rPr>
          <w:rFonts w:ascii="黑体" w:hAnsi="黑体" w:cs="黑体" w:hint="eastAsia" w:eastAsia="黑体"/>
          <w:b w:val="false"/>
          <w:bCs w:val="false"/>
          <w:color w:val="000000"/>
          <w:sz w:val="32"/>
          <w:szCs w:val="32"/>
          <w:u w:val="none"/>
        </w:rPr>
        <w:t xml:space="preserve">第十九条 </w:t>
      </w:r>
      <w:r>
        <w:rPr>
          <w:rFonts w:ascii="仿宋_GB2312" w:hAnsi="仿宋_GB2312" w:cs="仿宋_GB2312" w:hint="eastAsia" w:eastAsia="仿宋_GB2312"/>
          <w:b w:val="false"/>
          <w:bCs w:val="false"/>
          <w:color w:val="000000"/>
          <w:sz w:val="32"/>
          <w:szCs w:val="32"/>
          <w:u w:val="none"/>
        </w:rPr>
        <w:t>本条例自</w:t>
      </w:r>
      <w:r>
        <w:rPr>
          <w:rFonts w:eastAsia="仿宋_GB2312" w:cs="仿宋_GB2312" w:hint="eastAsia" w:ascii="仿宋_GB2312" w:hAnsi="仿宋_GB2312"/>
          <w:b w:val="false"/>
          <w:bCs w:val="false"/>
          <w:color w:val="000000"/>
          <w:sz w:val="32"/>
          <w:szCs w:val="32"/>
          <w:u w:val="none"/>
        </w:rPr>
        <w:t>2021</w:t>
      </w:r>
      <w:r>
        <w:rPr>
          <w:rFonts w:ascii="仿宋_GB2312" w:hAnsi="仿宋_GB2312" w:cs="仿宋_GB2312" w:hint="eastAsia" w:eastAsia="仿宋_GB2312"/>
          <w:b w:val="false"/>
          <w:bCs w:val="false"/>
          <w:color w:val="000000"/>
          <w:sz w:val="32"/>
          <w:szCs w:val="32"/>
          <w:u w:val="none"/>
        </w:rPr>
        <w:t>年</w:t>
      </w:r>
      <w:r>
        <w:rPr>
          <w:rFonts w:eastAsia="仿宋_GB2312" w:cs="仿宋_GB2312" w:hint="eastAsia" w:ascii="仿宋_GB2312" w:hAnsi="仿宋_GB2312"/>
          <w:b w:val="false"/>
          <w:bCs w:val="false"/>
          <w:color w:val="000000"/>
          <w:sz w:val="32"/>
          <w:szCs w:val="32"/>
          <w:u w:val="none"/>
        </w:rPr>
        <w:t>11</w:t>
      </w:r>
      <w:r>
        <w:rPr>
          <w:rFonts w:ascii="仿宋_GB2312" w:hAnsi="仿宋_GB2312" w:cs="仿宋_GB2312" w:hint="eastAsia" w:eastAsia="仿宋_GB2312"/>
          <w:b w:val="false"/>
          <w:bCs w:val="false"/>
          <w:color w:val="000000"/>
          <w:sz w:val="32"/>
          <w:szCs w:val="32"/>
          <w:u w:val="none"/>
        </w:rPr>
        <w:t>月</w:t>
      </w:r>
      <w:r>
        <w:rPr>
          <w:rFonts w:eastAsia="仿宋_GB2312" w:cs="仿宋_GB2312" w:hint="eastAsia" w:ascii="仿宋_GB2312" w:hAnsi="仿宋_GB2312"/>
          <w:b w:val="false"/>
          <w:bCs w:val="false"/>
          <w:color w:val="000000"/>
          <w:sz w:val="32"/>
          <w:szCs w:val="32"/>
          <w:u w:val="none"/>
        </w:rPr>
        <w:t>1</w:t>
      </w:r>
      <w:r>
        <w:rPr>
          <w:rFonts w:ascii="仿宋_GB2312" w:hAnsi="仿宋_GB2312" w:cs="仿宋_GB2312" w:hint="eastAsia" w:eastAsia="仿宋_GB2312"/>
          <w:b w:val="false"/>
          <w:bCs w:val="false"/>
          <w:color w:val="000000"/>
          <w:sz w:val="32"/>
          <w:szCs w:val="32"/>
          <w:u w:val="none"/>
        </w:rPr>
        <w:t>日起施行。</w:t>
      </w:r>
    </w:p>
    <w:p>
      <w:pPr>
        <w:pStyle w:val="Normal"/>
        <w:rPr>
          <w:rFonts w:ascii="Times New Roman" w:hAnsi="Times New Roman" w:eastAsia="宋体" w:cs="Times New Roman"/>
          <w:szCs w:val="24"/>
        </w:rPr>
      </w:pPr>
      <w:r>
        <w:rPr>
          <w:rFonts w:eastAsia="宋体" w:cs="Times New Roman" w:ascii="Times New Roman" w:hAnsi="Times New Roman"/>
          <w:szCs w:val="24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4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等线">
    <w:altName w:val="Arial Unicode MS"/>
    <w:charset w:val="86"/>
    <w:family w:val="auto"/>
    <w:pitch w:val="default"/>
  </w:font>
  <w:font w:name="宋体">
    <w:charset w:val="86"/>
    <w:family w:val="auto"/>
    <w:pitch w:val="default"/>
  </w:font>
  <w:font w:name="楷体">
    <w:charset w:val="86"/>
    <w:family w:val="modern"/>
    <w:pitch w:val="default"/>
  </w:font>
  <w:font w:name="黑体">
    <w:charset w:val="86"/>
    <w:family w:val="auto"/>
    <w:pitch w:val="default"/>
  </w:font>
  <w:font w:name="仿宋_GB2312">
    <w:charset w:val="86"/>
    <w:family w:val="modern"/>
    <w:pitch w:val="default"/>
  </w:font>
  <w:font w:name="仿宋">
    <w:charset w:val="86"/>
    <w:family w:val="auto"/>
    <w:pitch w:val="default"/>
  </w:font>
  <w:font w:name="Times New Roman">
    <w:charset w:val="cc" w:characterSet="windows-125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2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2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exact" w:line="760" w:before="340" w:after="330"/>
      <w:outlineLvl w:val="0"/>
    </w:pPr>
    <w:rPr>
      <w:rFonts w:ascii="Calibri" w:hAnsi="Calibri" w:eastAsia="方正小标宋_GBK" w:cs="Times New Roman"/>
      <w:kern w:val="2"/>
      <w:sz w:val="44"/>
    </w:rPr>
  </w:style>
  <w:style w:type="character" w:styleId="Style13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/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Indent">
    <w:name w:val="Body Text Indent"/>
    <w:basedOn w:val="Normal"/>
    <w:pPr>
      <w:ind w:firstLine="570" w:start="0" w:end="0"/>
    </w:pPr>
    <w:rPr>
      <w:sz w:val="32"/>
    </w:rPr>
  </w:style>
  <w:style w:type="paragraph" w:styleId="2">
    <w:name w:val="正文首行缩进 2"/>
    <w:basedOn w:val="BodyTextIndent"/>
    <w:qFormat/>
    <w:pPr>
      <w:ind w:firstLine="960" w:start="0" w:end="0"/>
    </w:pPr>
    <w:rPr/>
  </w:style>
  <w:style w:type="paragraph" w:styleId="New">
    <w:name w:val="正文 New"/>
    <w:qFormat/>
    <w:pPr>
      <w:widowControl w:val="false"/>
      <w:bidi w:val="0"/>
      <w:jc w:val="both"/>
    </w:pPr>
    <w:rPr>
      <w:rFonts w:ascii="等线;Arial Unicode MS" w:hAnsi="等线;Arial Unicode MS" w:eastAsia="等线;Arial Unicode MS" w:cs="黑体"/>
      <w:color w:val="auto"/>
      <w:kern w:val="2"/>
      <w:sz w:val="21"/>
      <w:szCs w:val="22"/>
      <w:lang w:bidi="ar-SA" w:val="en-US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43200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Administrator</dc:creator>
  <dc:description/>
  <dc:language>en-US</dc:language>
  <cp:lastModifiedBy>法工委</cp:lastModifiedBy>
  <dcterms:modified xsi:type="dcterms:W3CDTF">2021-10-09T08:50:33Z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38A7F48959E6450EA6D08A090E7E5623</vt:lpwstr>
  </property>
  <property fmtid="{D5CDD505-2E9C-101B-9397-08002B2CF9AE}" pid="3" name="KSOProductBuildVer">
    <vt:lpwstr>2052-11.1.0.10700</vt:lpwstr>
  </property>
</Properties>
</file>