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600"/>
        <w:jc w:val="center"/>
        <w:rPr>
          <w:rFonts w:ascii="黑体" w:hAnsi="黑体" w:eastAsia="黑体" w:cs="黑体" w:hint="eastAsia"/>
          <w:b w:val="false"/>
          <w:bCs/>
          <w:sz w:val="44"/>
          <w:szCs w:val="44"/>
        </w:rPr>
      </w:pPr>
      <w:r>
        <w:rPr>
          <w:rFonts w:eastAsia="黑体" w:cs="黑体" w:hint="eastAsia" w:ascii="黑体" w:hAnsi="黑体"/>
          <w:b w:val="false"/>
          <w:bCs/>
          <w:sz w:val="44"/>
          <w:szCs w:val="44"/>
        </w:rPr>
      </w:r>
    </w:p>
    <w:p>
      <w:pPr>
        <w:pStyle w:val="Normal"/>
        <w:snapToGrid w:val="false"/>
        <w:spacing w:lineRule="exact" w:line="600"/>
        <w:jc w:val="center"/>
        <w:rPr>
          <w:rFonts w:ascii="黑体" w:hAnsi="黑体" w:eastAsia="黑体" w:cs="黑体" w:hint="eastAsia"/>
          <w:b w:val="false"/>
          <w:bCs/>
          <w:sz w:val="44"/>
          <w:szCs w:val="44"/>
        </w:rPr>
      </w:pPr>
      <w:r>
        <w:rPr>
          <w:rFonts w:eastAsia="黑体" w:cs="黑体" w:hint="eastAsia" w:ascii="黑体" w:hAnsi="黑体"/>
          <w:b w:val="false"/>
          <w:bCs/>
          <w:sz w:val="44"/>
          <w:szCs w:val="44"/>
        </w:rPr>
      </w:r>
    </w:p>
    <w:p>
      <w:pPr>
        <w:pStyle w:val="Normal"/>
        <w:snapToGrid w:val="false"/>
        <w:spacing w:lineRule="exact" w:line="600"/>
        <w:jc w:val="center"/>
        <w:rPr>
          <w:rFonts w:ascii="黑体" w:hAnsi="黑体" w:eastAsia="黑体" w:cs="黑体" w:hint="eastAsia"/>
          <w:b w:val="false"/>
          <w:bCs/>
          <w:kern w:val="0"/>
          <w:sz w:val="32"/>
          <w:szCs w:val="32"/>
        </w:rPr>
      </w:pPr>
      <w:r>
        <w:rPr>
          <w:rFonts w:ascii="黑体" w:hAnsi="黑体" w:cs="黑体" w:hint="eastAsia" w:eastAsia="黑体"/>
          <w:b w:val="false"/>
          <w:bCs/>
          <w:sz w:val="44"/>
          <w:szCs w:val="44"/>
        </w:rPr>
        <w:t>四平市海绵城市建设管理条例</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楷体" w:hAnsi="楷体" w:eastAsia="楷体_GB2312" w:cs="楷体" w:hint="eastAsia"/>
          <w:b w:val="false"/>
          <w:bCs/>
          <w:kern w:val="0"/>
          <w:sz w:val="32"/>
          <w:szCs w:val="32"/>
        </w:rPr>
      </w:pPr>
      <w:r>
        <w:rPr>
          <w:rFonts w:eastAsia="楷体_GB2312" w:cs="楷体" w:hint="eastAsia" w:ascii="楷体" w:hAnsi="楷体"/>
          <w:b w:val="false"/>
          <w:bCs/>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楷体" w:hAnsi="楷体" w:eastAsia="楷体_GB2312" w:cs="楷体"/>
          <w:sz w:val="32"/>
          <w:szCs w:val="32"/>
        </w:rPr>
      </w:pPr>
      <w:r>
        <w:rPr>
          <w:rFonts w:ascii="楷体" w:hAnsi="楷体" w:cs="楷体" w:hint="eastAsia" w:eastAsia="楷体_GB2312"/>
          <w:sz w:val="32"/>
          <w:szCs w:val="32"/>
        </w:rPr>
        <w:t>（</w:t>
      </w:r>
      <w:r>
        <w:rPr>
          <w:rFonts w:eastAsia="楷体_GB2312" w:cs="楷体" w:hint="eastAsia" w:ascii="楷体" w:hAnsi="楷体"/>
          <w:sz w:val="32"/>
          <w:szCs w:val="32"/>
        </w:rPr>
        <w:t>2022</w:t>
      </w:r>
      <w:r>
        <w:rPr>
          <w:rFonts w:ascii="楷体" w:hAnsi="楷体" w:cs="楷体" w:hint="eastAsia" w:eastAsia="楷体_GB2312"/>
          <w:sz w:val="32"/>
          <w:szCs w:val="32"/>
        </w:rPr>
        <w:t>年</w:t>
      </w:r>
      <w:r>
        <w:rPr>
          <w:rFonts w:eastAsia="楷体_GB2312" w:cs="楷体" w:hint="eastAsia" w:ascii="楷体" w:hAnsi="楷体"/>
          <w:sz w:val="32"/>
          <w:szCs w:val="32"/>
        </w:rPr>
        <w:t>7</w:t>
      </w:r>
      <w:r>
        <w:rPr>
          <w:rFonts w:ascii="楷体" w:hAnsi="楷体" w:cs="楷体" w:hint="eastAsia" w:eastAsia="楷体_GB2312"/>
          <w:sz w:val="32"/>
          <w:szCs w:val="32"/>
        </w:rPr>
        <w:t>月</w:t>
      </w:r>
      <w:r>
        <w:rPr>
          <w:rFonts w:eastAsia="楷体_GB2312" w:cs="楷体" w:hint="eastAsia" w:ascii="楷体" w:hAnsi="楷体"/>
          <w:sz w:val="32"/>
          <w:szCs w:val="32"/>
        </w:rPr>
        <w:t>29</w:t>
      </w:r>
      <w:r>
        <w:rPr>
          <w:rFonts w:ascii="楷体" w:hAnsi="楷体" w:cs="楷体" w:hint="eastAsia" w:eastAsia="楷体_GB2312"/>
          <w:sz w:val="32"/>
          <w:szCs w:val="32"/>
        </w:rPr>
        <w:t xml:space="preserve">日四平市第九届人民代表大会常务委员会第三次会议通过 </w:t>
      </w:r>
      <w:r>
        <w:rPr>
          <w:rFonts w:eastAsia="楷体_GB2312" w:cs="楷体" w:hint="eastAsia" w:ascii="楷体" w:hAnsi="楷体"/>
          <w:sz w:val="32"/>
          <w:szCs w:val="32"/>
        </w:rPr>
        <w:t>2022</w:t>
      </w:r>
      <w:r>
        <w:rPr>
          <w:rFonts w:ascii="楷体" w:hAnsi="楷体" w:cs="楷体" w:hint="eastAsia" w:eastAsia="楷体_GB2312"/>
          <w:sz w:val="32"/>
          <w:szCs w:val="32"/>
        </w:rPr>
        <w:t>年</w:t>
      </w:r>
      <w:r>
        <w:rPr>
          <w:rFonts w:eastAsia="楷体_GB2312" w:cs="楷体" w:hint="eastAsia" w:ascii="楷体" w:hAnsi="楷体"/>
          <w:sz w:val="32"/>
          <w:szCs w:val="32"/>
        </w:rPr>
        <w:t>9</w:t>
      </w:r>
      <w:r>
        <w:rPr>
          <w:rFonts w:ascii="楷体" w:hAnsi="楷体" w:cs="楷体" w:hint="eastAsia" w:eastAsia="楷体_GB2312"/>
          <w:sz w:val="32"/>
          <w:szCs w:val="32"/>
        </w:rPr>
        <w:t>月</w:t>
      </w:r>
      <w:r>
        <w:rPr>
          <w:rFonts w:eastAsia="楷体_GB2312" w:cs="楷体" w:hint="eastAsia" w:ascii="楷体" w:hAnsi="楷体"/>
          <w:sz w:val="32"/>
          <w:szCs w:val="32"/>
        </w:rPr>
        <w:t>28</w:t>
      </w:r>
      <w:r>
        <w:rPr>
          <w:rFonts w:ascii="楷体" w:hAnsi="楷体" w:cs="楷体" w:hint="eastAsia" w:eastAsia="楷体_GB2312"/>
          <w:sz w:val="32"/>
          <w:szCs w:val="32"/>
        </w:rPr>
        <w:t>日吉林省第十三届人民代表大会常务委员会第三十六次会议批准）</w:t>
      </w:r>
    </w:p>
    <w:p>
      <w:pPr>
        <w:pStyle w:val="Normal"/>
        <w:spacing w:lineRule="exact" w:line="600"/>
        <w:ind w:firstLineChars="200" w:startChars="0" w:start="0" w:endChars="0" w:end="0"/>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spacing w:lineRule="exact" w:line="600"/>
        <w:ind w:firstLineChars="200" w:startChars="0" w:start="0" w:endChars="0" w:end="0"/>
        <w:rPr>
          <w:rFonts w:ascii="仿宋" w:hAnsi="仿宋" w:eastAsia="仿宋" w:cs="仿宋"/>
          <w:b w:val="false"/>
          <w:bCs/>
          <w:sz w:val="32"/>
          <w:szCs w:val="32"/>
        </w:rPr>
      </w:pPr>
      <w:r>
        <w:rPr>
          <w:rFonts w:ascii="黑体" w:hAnsi="黑体" w:cs="黑体" w:hint="eastAsia" w:eastAsia="黑体"/>
          <w:b w:val="false"/>
          <w:bCs/>
          <w:sz w:val="32"/>
          <w:szCs w:val="32"/>
        </w:rPr>
        <w:t>第一条</w:t>
      </w:r>
      <w:r>
        <w:rPr>
          <w:rFonts w:ascii="仿宋" w:hAnsi="仿宋" w:cs="仿宋" w:hint="eastAsia" w:eastAsia="仿宋"/>
          <w:b w:val="false"/>
          <w:bCs/>
          <w:sz w:val="32"/>
          <w:szCs w:val="32"/>
        </w:rPr>
        <w:t xml:space="preserve"> 为规范海绵城市建设管理，提升城市蓄水、渗水和涵养水的能力，形成生态、安全、可持续的城市水循环系统，根据有关法律法规，结合本市实际，制定本条例。</w:t>
      </w:r>
    </w:p>
    <w:p>
      <w:pPr>
        <w:pStyle w:val="Normal"/>
        <w:spacing w:lineRule="exact" w:line="600"/>
        <w:ind w:firstLineChars="200" w:startChars="0" w:start="0" w:endChars="0" w:end="0"/>
        <w:rPr>
          <w:rFonts w:ascii="仿宋" w:hAnsi="仿宋" w:eastAsia="仿宋" w:cs="仿宋"/>
          <w:b w:val="false"/>
          <w:bCs/>
          <w:sz w:val="32"/>
          <w:szCs w:val="32"/>
        </w:rPr>
      </w:pPr>
      <w:r>
        <w:rPr>
          <w:rFonts w:ascii="黑体" w:hAnsi="黑体" w:cs="黑体" w:hint="eastAsia" w:eastAsia="黑体"/>
          <w:b w:val="false"/>
          <w:bCs/>
          <w:sz w:val="32"/>
          <w:szCs w:val="32"/>
        </w:rPr>
        <w:t>第二条</w:t>
      </w:r>
      <w:r>
        <w:rPr>
          <w:rFonts w:ascii="仿宋" w:hAnsi="仿宋" w:cs="仿宋" w:hint="eastAsia" w:eastAsia="仿宋"/>
          <w:b w:val="false"/>
          <w:bCs/>
          <w:sz w:val="32"/>
          <w:szCs w:val="32"/>
        </w:rPr>
        <w:t xml:space="preserve"> 本条例适用于国土空间总体规划确定的城镇发展区的海绵城市建设管理活动。</w:t>
      </w:r>
    </w:p>
    <w:p>
      <w:pPr>
        <w:pStyle w:val="Normal"/>
        <w:spacing w:lineRule="exact" w:line="600"/>
        <w:ind w:firstLineChars="200" w:startChars="0" w:start="0" w:endChars="0" w:end="0"/>
        <w:rPr>
          <w:rFonts w:ascii="仿宋" w:hAnsi="仿宋" w:eastAsia="仿宋" w:cs="仿宋"/>
          <w:b w:val="false"/>
          <w:bCs/>
          <w:sz w:val="32"/>
          <w:szCs w:val="32"/>
        </w:rPr>
      </w:pPr>
      <w:r>
        <w:rPr>
          <w:rFonts w:ascii="仿宋" w:hAnsi="仿宋" w:cs="仿宋" w:hint="eastAsia" w:eastAsia="仿宋"/>
          <w:b w:val="false"/>
          <w:bCs/>
          <w:sz w:val="32"/>
          <w:szCs w:val="32"/>
        </w:rPr>
        <w:t>本条例所称海绵城市，是指通过城市规划、建设的管控，从“源头减排、过程控制、系统治理”着手，综合采用“渗、滞、蓄、净、用、排”等技术措施，有效控制城市降雨径流，最大限度地减少城市开发建设行为对原有自然水文特征和水生态环境造成的破坏，实现自然积存、自然渗透、自然净化的城市发展方式。</w:t>
      </w:r>
    </w:p>
    <w:p>
      <w:pPr>
        <w:pStyle w:val="Normal"/>
        <w:spacing w:lineRule="exact" w:line="600"/>
        <w:ind w:firstLineChars="200" w:startChars="0" w:start="0" w:endChars="0" w:end="0"/>
        <w:rPr>
          <w:rFonts w:ascii="仿宋" w:hAnsi="仿宋" w:eastAsia="仿宋" w:cs="仿宋"/>
          <w:b w:val="false"/>
          <w:bCs/>
          <w:sz w:val="32"/>
          <w:szCs w:val="32"/>
        </w:rPr>
      </w:pPr>
      <w:r>
        <w:rPr>
          <w:rFonts w:ascii="黑体" w:hAnsi="黑体" w:cs="黑体" w:hint="eastAsia" w:eastAsia="黑体"/>
          <w:b w:val="false"/>
          <w:bCs/>
          <w:sz w:val="32"/>
          <w:szCs w:val="32"/>
        </w:rPr>
        <w:t>第三条</w:t>
      </w:r>
      <w:r>
        <w:rPr>
          <w:rFonts w:ascii="仿宋" w:hAnsi="仿宋" w:cs="仿宋" w:hint="eastAsia" w:eastAsia="仿宋"/>
          <w:b w:val="false"/>
          <w:bCs/>
          <w:sz w:val="32"/>
          <w:szCs w:val="32"/>
        </w:rPr>
        <w:t xml:space="preserve"> 市、县（市）人民政府应当将海绵城市建设纳入国民经济和社会发展规划，建立政府统筹、多专业融合、部门分工协同的工作体制机制，推进海绵城市建设。</w:t>
      </w:r>
    </w:p>
    <w:p>
      <w:pPr>
        <w:pStyle w:val="Normal"/>
        <w:spacing w:lineRule="exact" w:line="600"/>
        <w:ind w:firstLineChars="200" w:startChars="0" w:start="0" w:endChars="0" w:end="0"/>
        <w:rPr>
          <w:rFonts w:ascii="仿宋" w:hAnsi="仿宋" w:eastAsia="仿宋" w:cs="仿宋"/>
          <w:b w:val="false"/>
          <w:bCs/>
          <w:sz w:val="32"/>
          <w:szCs w:val="32"/>
        </w:rPr>
      </w:pPr>
      <w:r>
        <w:rPr>
          <w:rFonts w:ascii="黑体" w:hAnsi="黑体" w:cs="黑体" w:hint="eastAsia" w:eastAsia="黑体"/>
          <w:b w:val="false"/>
          <w:bCs/>
          <w:sz w:val="32"/>
          <w:szCs w:val="32"/>
        </w:rPr>
        <w:t>第四条</w:t>
      </w:r>
      <w:r>
        <w:rPr>
          <w:rFonts w:ascii="仿宋" w:hAnsi="仿宋" w:cs="仿宋" w:hint="eastAsia" w:eastAsia="仿宋"/>
          <w:b w:val="false"/>
          <w:bCs/>
          <w:sz w:val="32"/>
          <w:szCs w:val="32"/>
        </w:rPr>
        <w:t xml:space="preserve"> 市、县（市）住房和城乡建设部门是海绵城市建设的主管部门，负责统筹协调、技术指导、监督考核海绵城市建设管理工作。</w:t>
      </w:r>
    </w:p>
    <w:p>
      <w:pPr>
        <w:pStyle w:val="Normal"/>
        <w:spacing w:lineRule="exact" w:line="600"/>
        <w:ind w:firstLineChars="200" w:startChars="0" w:start="0" w:endChars="0" w:end="0"/>
        <w:rPr>
          <w:rFonts w:ascii="仿宋" w:hAnsi="仿宋" w:eastAsia="仿宋" w:cs="仿宋"/>
          <w:b w:val="false"/>
          <w:bCs/>
          <w:sz w:val="32"/>
          <w:szCs w:val="32"/>
        </w:rPr>
      </w:pPr>
      <w:r>
        <w:rPr>
          <w:rFonts w:ascii="仿宋" w:hAnsi="仿宋" w:cs="仿宋" w:hint="eastAsia" w:eastAsia="仿宋"/>
          <w:b w:val="false"/>
          <w:bCs/>
          <w:sz w:val="32"/>
          <w:szCs w:val="32"/>
        </w:rPr>
        <w:t>其他有关部门按照职责分工，做好海绵城市建设管理相关工作。</w:t>
      </w:r>
    </w:p>
    <w:p>
      <w:pPr>
        <w:pStyle w:val="Normal"/>
        <w:spacing w:lineRule="exact" w:line="600"/>
        <w:ind w:firstLineChars="200" w:startChars="0" w:start="0" w:endChars="0" w:end="0"/>
        <w:rPr>
          <w:rFonts w:ascii="仿宋" w:hAnsi="仿宋" w:eastAsia="仿宋" w:cs="仿宋"/>
          <w:b w:val="false"/>
          <w:bCs/>
          <w:sz w:val="32"/>
          <w:szCs w:val="32"/>
        </w:rPr>
      </w:pPr>
      <w:r>
        <w:rPr>
          <w:rFonts w:ascii="黑体" w:hAnsi="黑体" w:cs="黑体" w:hint="eastAsia" w:eastAsia="黑体"/>
          <w:b w:val="false"/>
          <w:bCs/>
          <w:sz w:val="32"/>
          <w:szCs w:val="32"/>
        </w:rPr>
        <w:t>第五条</w:t>
      </w:r>
      <w:r>
        <w:rPr>
          <w:rFonts w:ascii="仿宋" w:hAnsi="仿宋" w:cs="仿宋" w:hint="eastAsia" w:eastAsia="仿宋"/>
          <w:b w:val="false"/>
          <w:bCs/>
          <w:sz w:val="32"/>
          <w:szCs w:val="32"/>
        </w:rPr>
        <w:t xml:space="preserve"> 住房和城乡建设部门</w:t>
      </w:r>
      <w:r>
        <w:rPr>
          <w:rFonts w:ascii="仿宋" w:hAnsi="仿宋" w:cs="仿宋" w:hint="eastAsia" w:eastAsia="仿宋"/>
          <w:b w:val="false"/>
          <w:bCs/>
          <w:kern w:val="0"/>
          <w:sz w:val="32"/>
          <w:szCs w:val="32"/>
        </w:rPr>
        <w:t>应当</w:t>
      </w:r>
      <w:r>
        <w:rPr>
          <w:rFonts w:ascii="仿宋" w:hAnsi="仿宋" w:cs="仿宋" w:hint="eastAsia" w:eastAsia="仿宋"/>
          <w:b w:val="false"/>
          <w:bCs/>
          <w:sz w:val="32"/>
          <w:szCs w:val="32"/>
        </w:rPr>
        <w:t>会同</w:t>
      </w:r>
      <w:r>
        <w:rPr>
          <w:rFonts w:ascii="仿宋" w:hAnsi="仿宋" w:cs="仿宋" w:hint="eastAsia" w:eastAsia="仿宋"/>
          <w:b w:val="false"/>
          <w:bCs/>
          <w:kern w:val="0"/>
          <w:sz w:val="32"/>
          <w:szCs w:val="32"/>
        </w:rPr>
        <w:t>自然资源</w:t>
      </w:r>
      <w:r>
        <w:rPr>
          <w:rFonts w:ascii="仿宋" w:hAnsi="仿宋" w:cs="仿宋" w:hint="eastAsia" w:eastAsia="仿宋"/>
          <w:b w:val="false"/>
          <w:bCs/>
          <w:sz w:val="32"/>
          <w:szCs w:val="32"/>
        </w:rPr>
        <w:t>、水利等部门，依据国土空间总体规划编制海绵城市专项规划，报市、县（市）人民政府批准后予以实施。</w:t>
      </w:r>
    </w:p>
    <w:p>
      <w:pPr>
        <w:pStyle w:val="Normal"/>
        <w:spacing w:lineRule="exact" w:line="600"/>
        <w:ind w:firstLineChars="200" w:startChars="0" w:start="0" w:endChars="0" w:end="0"/>
        <w:rPr>
          <w:rFonts w:ascii="仿宋" w:hAnsi="仿宋" w:eastAsia="仿宋" w:cs="仿宋"/>
          <w:b w:val="false"/>
          <w:bCs/>
          <w:sz w:val="32"/>
          <w:szCs w:val="32"/>
        </w:rPr>
      </w:pPr>
      <w:r>
        <w:rPr>
          <w:rFonts w:ascii="仿宋" w:hAnsi="仿宋" w:cs="仿宋" w:hint="eastAsia" w:eastAsia="仿宋"/>
          <w:b w:val="false"/>
          <w:bCs/>
          <w:sz w:val="32"/>
          <w:szCs w:val="32"/>
        </w:rPr>
        <w:t>海绵城市专项规划应当明确海绵城市建设目标和具体指标，并与城市道路、绿地、水系、排水防涝等专项规划相衔接。</w:t>
      </w:r>
    </w:p>
    <w:p>
      <w:pPr>
        <w:pStyle w:val="Normal"/>
        <w:spacing w:lineRule="exact" w:line="600"/>
        <w:ind w:firstLineChars="200" w:startChars="0" w:start="0" w:endChars="0" w:end="0"/>
        <w:rPr>
          <w:rFonts w:ascii="黑体" w:hAnsi="黑体" w:eastAsia="黑体" w:cs="黑体" w:hint="eastAsia"/>
          <w:b w:val="false"/>
          <w:bCs/>
          <w:sz w:val="32"/>
          <w:szCs w:val="32"/>
        </w:rPr>
      </w:pPr>
      <w:r>
        <w:rPr>
          <w:rFonts w:ascii="黑体" w:hAnsi="黑体" w:cs="黑体" w:hint="eastAsia" w:eastAsia="黑体"/>
          <w:b w:val="false"/>
          <w:bCs/>
          <w:sz w:val="32"/>
          <w:szCs w:val="32"/>
        </w:rPr>
        <w:t>第六条</w:t>
      </w:r>
      <w:r>
        <w:rPr>
          <w:rFonts w:ascii="仿宋" w:hAnsi="仿宋" w:cs="仿宋" w:hint="eastAsia" w:eastAsia="仿宋"/>
          <w:b w:val="false"/>
          <w:bCs/>
          <w:sz w:val="32"/>
          <w:szCs w:val="32"/>
        </w:rPr>
        <w:t xml:space="preserve"> 详细规划应当与海绵城市专项规划做好衔接，将雨水年径流总量控制率等主要内容纳入详细规划。</w:t>
      </w:r>
    </w:p>
    <w:p>
      <w:pPr>
        <w:pStyle w:val="Normal"/>
        <w:spacing w:lineRule="exact" w:line="600"/>
        <w:ind w:firstLineChars="200" w:startChars="0" w:start="0" w:endChars="0" w:end="0"/>
        <w:rPr>
          <w:rFonts w:ascii="仿宋" w:hAnsi="仿宋" w:eastAsia="仿宋" w:cs="仿宋" w:hint="eastAsia"/>
          <w:b w:val="false"/>
          <w:bCs/>
          <w:kern w:val="2"/>
          <w:sz w:val="32"/>
          <w:szCs w:val="32"/>
        </w:rPr>
      </w:pPr>
      <w:r>
        <w:rPr>
          <w:rFonts w:ascii="黑体" w:hAnsi="黑体" w:cs="黑体" w:hint="eastAsia" w:eastAsia="黑体"/>
          <w:b w:val="false"/>
          <w:bCs/>
          <w:sz w:val="32"/>
          <w:szCs w:val="32"/>
        </w:rPr>
        <w:t>第七条</w:t>
      </w:r>
      <w:r>
        <w:rPr>
          <w:rFonts w:ascii="仿宋" w:hAnsi="仿宋" w:cs="仿宋" w:hint="eastAsia" w:eastAsia="仿宋"/>
          <w:b w:val="false"/>
          <w:bCs/>
          <w:sz w:val="32"/>
          <w:szCs w:val="32"/>
        </w:rPr>
        <w:t xml:space="preserve"> </w:t>
      </w:r>
      <w:r>
        <w:rPr>
          <w:rFonts w:ascii="仿宋" w:hAnsi="仿宋" w:cs="仿宋" w:hint="eastAsia" w:eastAsia="仿宋"/>
          <w:b w:val="false"/>
          <w:bCs/>
          <w:kern w:val="2"/>
          <w:sz w:val="32"/>
          <w:szCs w:val="32"/>
        </w:rPr>
        <w:t>自然资源主管部门供应城市建设用地时，应当在规划条件中明确</w:t>
      </w:r>
      <w:r>
        <w:rPr>
          <w:rFonts w:ascii="仿宋" w:hAnsi="仿宋" w:cs="仿宋" w:hint="eastAsia" w:eastAsia="仿宋"/>
          <w:b w:val="false"/>
          <w:bCs/>
          <w:sz w:val="32"/>
          <w:szCs w:val="32"/>
        </w:rPr>
        <w:t>雨水年径流总量控制率等指标</w:t>
      </w:r>
      <w:r>
        <w:rPr>
          <w:rFonts w:ascii="仿宋" w:hAnsi="仿宋" w:cs="仿宋" w:hint="eastAsia" w:eastAsia="仿宋"/>
          <w:b w:val="false"/>
          <w:bCs/>
          <w:kern w:val="2"/>
          <w:sz w:val="32"/>
          <w:szCs w:val="32"/>
        </w:rPr>
        <w:t>，并依法纳入建设项目选址、建设用地规划许可、建设工程规划许可、规划核实等环节。</w:t>
      </w:r>
    </w:p>
    <w:p>
      <w:pPr>
        <w:pStyle w:val="Normal"/>
        <w:spacing w:lineRule="exact" w:line="600"/>
        <w:ind w:firstLineChars="200" w:startChars="0" w:start="0" w:endChars="0" w:end="0"/>
        <w:rPr>
          <w:rFonts w:ascii="仿宋" w:hAnsi="仿宋" w:eastAsia="仿宋" w:cs="仿宋" w:hint="eastAsia"/>
          <w:b w:val="false"/>
          <w:bCs/>
          <w:sz w:val="32"/>
          <w:szCs w:val="32"/>
        </w:rPr>
      </w:pPr>
      <w:r>
        <w:rPr>
          <w:rFonts w:ascii="黑体" w:hAnsi="黑体" w:cs="黑体" w:hint="eastAsia" w:eastAsia="黑体"/>
          <w:b w:val="false"/>
          <w:bCs/>
          <w:sz w:val="32"/>
          <w:szCs w:val="32"/>
        </w:rPr>
        <w:t>第八条</w:t>
      </w:r>
      <w:r>
        <w:rPr>
          <w:rFonts w:ascii="仿宋" w:hAnsi="仿宋" w:cs="仿宋" w:hint="eastAsia" w:eastAsia="仿宋"/>
          <w:b w:val="false"/>
          <w:bCs/>
          <w:sz w:val="32"/>
          <w:szCs w:val="32"/>
        </w:rPr>
        <w:t xml:space="preserve"> 住房和城乡建设部门应当将海绵城市建设纳入建设工程质量管理范围，海绵城市建设验收合格后，方可办理工程竣工验收备案。</w:t>
      </w:r>
    </w:p>
    <w:p>
      <w:pPr>
        <w:pStyle w:val="Normal"/>
        <w:spacing w:lineRule="exact" w:line="600"/>
        <w:ind w:firstLineChars="200" w:startChars="0" w:start="0" w:endChars="0" w:end="0"/>
        <w:rPr>
          <w:rFonts w:ascii="仿宋" w:hAnsi="仿宋" w:eastAsia="仿宋" w:cs="仿宋"/>
          <w:b w:val="false"/>
          <w:bCs/>
          <w:sz w:val="32"/>
          <w:szCs w:val="32"/>
        </w:rPr>
      </w:pPr>
      <w:r>
        <w:rPr>
          <w:rFonts w:ascii="黑体" w:hAnsi="黑体" w:cs="黑体" w:hint="eastAsia" w:eastAsia="黑体"/>
          <w:b w:val="false"/>
          <w:bCs/>
          <w:sz w:val="32"/>
          <w:szCs w:val="32"/>
        </w:rPr>
        <w:t>第九条</w:t>
      </w:r>
      <w:r>
        <w:rPr>
          <w:rFonts w:ascii="仿宋" w:hAnsi="仿宋" w:cs="仿宋" w:hint="eastAsia" w:eastAsia="仿宋"/>
          <w:b w:val="false"/>
          <w:bCs/>
          <w:sz w:val="32"/>
          <w:szCs w:val="32"/>
        </w:rPr>
        <w:t xml:space="preserve"> 工程项目应当按照下列规定进行海绵城市建设：</w:t>
      </w:r>
    </w:p>
    <w:p>
      <w:pPr>
        <w:pStyle w:val="Normal"/>
        <w:spacing w:lineRule="exact" w:line="600"/>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（一）建筑与小区建设应当因地制宜采取屋顶绿化、雨水调蓄与收集利用等措施，提高建筑与小区的雨水积存和滞蓄能力；</w:t>
      </w:r>
    </w:p>
    <w:p>
      <w:pPr>
        <w:pStyle w:val="Normal"/>
        <w:spacing w:lineRule="exact" w:line="600"/>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（二）道路与广场建设应当改变雨水快排、直排方式，增强道路绿化带对雨水的消纳功能，在非机动车道、人行道、停车场、广场等使用透水铺装，推行道路与广场雨水的收集、净化和利用；</w:t>
      </w:r>
    </w:p>
    <w:p>
      <w:pPr>
        <w:pStyle w:val="Normal"/>
        <w:spacing w:lineRule="exact" w:line="600"/>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（三）公园和绿地建设应当采取雨水花园、下沉式绿地、人工湿地、植被缓冲带、雨水塘、生态堤岸等低影响开发措施，增强公园和绿地系统的城市海绵体功能，消纳自身雨水，并为滞蓄周边区域雨水提供空间；</w:t>
      </w:r>
    </w:p>
    <w:p>
      <w:pPr>
        <w:pStyle w:val="Normal"/>
        <w:spacing w:lineRule="exact" w:line="600"/>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（四）城市排水防涝设施建设应当改造和消除城市易涝点，实施雨污分流，控制初期雨水污染，排入自然水体的雨水应当经过岸线净化，沿岸截流干管建设和改造应当控制渗漏和污水溢流；</w:t>
      </w:r>
    </w:p>
    <w:p>
      <w:pPr>
        <w:pStyle w:val="Normal"/>
        <w:spacing w:lineRule="exact" w:line="600"/>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（五）流域区域治理应当保护山体自然风貌，恢复山体原有植被，修复河湖水系和湿地等水体，保护现有雨洪调蓄空间，提高水资源涵养、蓄积、净化能力。</w:t>
      </w:r>
    </w:p>
    <w:p>
      <w:pPr>
        <w:pStyle w:val="Normal"/>
        <w:spacing w:lineRule="exact" w:line="600"/>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老旧城区雨污分流、黑臭水体以及易积易涝点治理、管线入地、建筑节能、绿化硬化综合整治、停车场建设等工程应当同步进行海绵城市建设；新城区（包括城市新区、各类园区、成片开发区）应当全面落实海绵城市建设要求。</w:t>
      </w:r>
    </w:p>
    <w:p>
      <w:pPr>
        <w:pStyle w:val="Normal"/>
        <w:spacing w:lineRule="exact" w:line="600"/>
        <w:ind w:firstLineChars="200" w:startChars="0" w:start="0" w:endChars="0" w:end="0"/>
        <w:rPr>
          <w:rFonts w:ascii="仿宋" w:hAnsi="仿宋" w:eastAsia="仿宋" w:cs="仿宋"/>
          <w:b w:val="false"/>
          <w:bCs/>
          <w:sz w:val="32"/>
          <w:szCs w:val="32"/>
        </w:rPr>
      </w:pPr>
      <w:r>
        <w:rPr>
          <w:rFonts w:ascii="黑体" w:hAnsi="黑体" w:cs="黑体" w:hint="eastAsia" w:eastAsia="黑体"/>
          <w:b w:val="false"/>
          <w:bCs/>
          <w:sz w:val="32"/>
          <w:szCs w:val="32"/>
        </w:rPr>
        <w:t>第十条</w:t>
      </w:r>
      <w:r>
        <w:rPr>
          <w:rFonts w:ascii="仿宋" w:hAnsi="仿宋" w:cs="仿宋" w:hint="eastAsia" w:eastAsia="仿宋"/>
          <w:b w:val="false"/>
          <w:bCs/>
          <w:sz w:val="32"/>
          <w:szCs w:val="32"/>
        </w:rPr>
        <w:t xml:space="preserve"> 工程项目符合下列情形之一的，可以不进行海绵城市建设：</w:t>
      </w:r>
    </w:p>
    <w:p>
      <w:pPr>
        <w:pStyle w:val="Normal"/>
        <w:spacing w:lineRule="exact" w:line="600"/>
        <w:ind w:firstLineChars="200" w:startChars="0" w:start="0" w:endChars="0" w:end="0"/>
        <w:rPr>
          <w:rFonts w:ascii="仿宋" w:hAnsi="仿宋" w:eastAsia="仿宋" w:cs="仿宋"/>
          <w:b w:val="false"/>
          <w:bCs/>
          <w:sz w:val="32"/>
          <w:szCs w:val="32"/>
        </w:rPr>
      </w:pPr>
      <w:r>
        <w:rPr>
          <w:rFonts w:ascii="仿宋" w:hAnsi="仿宋" w:cs="仿宋" w:hint="eastAsia" w:eastAsia="仿宋"/>
          <w:b w:val="false"/>
          <w:bCs/>
          <w:sz w:val="32"/>
          <w:szCs w:val="32"/>
        </w:rPr>
        <w:t>（一）投资额在三十万元以下或者建筑面积在三百平方米以下的建筑工程；</w:t>
      </w:r>
    </w:p>
    <w:p>
      <w:pPr>
        <w:pStyle w:val="Normal"/>
        <w:spacing w:lineRule="exact" w:line="600"/>
        <w:ind w:firstLineChars="200" w:startChars="0" w:start="0" w:endChars="0" w:end="0"/>
        <w:rPr>
          <w:rFonts w:ascii="仿宋" w:hAnsi="仿宋" w:eastAsia="仿宋" w:cs="仿宋"/>
          <w:b w:val="false"/>
          <w:bCs/>
          <w:sz w:val="32"/>
          <w:szCs w:val="32"/>
        </w:rPr>
      </w:pPr>
      <w:r>
        <w:rPr>
          <w:rFonts w:ascii="仿宋" w:hAnsi="仿宋" w:cs="仿宋" w:hint="eastAsia" w:eastAsia="仿宋"/>
          <w:b w:val="false"/>
          <w:bCs/>
          <w:sz w:val="32"/>
          <w:szCs w:val="32"/>
        </w:rPr>
        <w:t>（二）文物保护、抢险救灾、临时性建筑、军用房屋建筑等特殊工程；</w:t>
      </w:r>
    </w:p>
    <w:p>
      <w:pPr>
        <w:pStyle w:val="Normal"/>
        <w:spacing w:lineRule="exact" w:line="600"/>
        <w:ind w:firstLineChars="200" w:startChars="0" w:start="0" w:endChars="0" w:end="0"/>
        <w:rPr>
          <w:rFonts w:ascii="仿宋" w:hAnsi="仿宋" w:eastAsia="仿宋" w:cs="仿宋"/>
          <w:b w:val="false"/>
          <w:bCs/>
          <w:sz w:val="32"/>
          <w:szCs w:val="32"/>
        </w:rPr>
      </w:pPr>
      <w:r>
        <w:rPr>
          <w:rFonts w:ascii="仿宋" w:hAnsi="仿宋" w:cs="仿宋" w:hint="eastAsia" w:eastAsia="仿宋"/>
          <w:b w:val="false"/>
          <w:bCs/>
          <w:sz w:val="32"/>
          <w:szCs w:val="32"/>
        </w:rPr>
        <w:t>（三）已正式交付使用的建筑小区、学校、医院、办公场所等区域配建养老、健身、停车、变配电室、水气热力加压站、食堂等配套公共建筑；</w:t>
      </w:r>
    </w:p>
    <w:p>
      <w:pPr>
        <w:pStyle w:val="Normal"/>
        <w:spacing w:lineRule="exact" w:line="600"/>
        <w:ind w:firstLineChars="200" w:startChars="0" w:start="0" w:endChars="0" w:end="0"/>
        <w:rPr>
          <w:rFonts w:ascii="仿宋_GB2312" w:hAnsi="仿宋_GB2312" w:eastAsia="仿宋_GB2312"/>
          <w:b w:val="false"/>
          <w:bCs/>
          <w:sz w:val="32"/>
          <w:szCs w:val="32"/>
        </w:rPr>
      </w:pPr>
      <w:r>
        <w:rPr>
          <w:rFonts w:ascii="仿宋" w:hAnsi="仿宋" w:cs="仿宋" w:hint="eastAsia" w:eastAsia="仿宋"/>
          <w:b w:val="false"/>
          <w:bCs/>
          <w:sz w:val="32"/>
          <w:szCs w:val="32"/>
        </w:rPr>
        <w:t>（四）不涉及室外建设的旧建筑物的翻新、改造、加固、加层等工程。</w:t>
      </w:r>
    </w:p>
    <w:p>
      <w:pPr>
        <w:pStyle w:val="Normal"/>
        <w:spacing w:lineRule="exact" w:line="600"/>
        <w:ind w:firstLineChars="200" w:startChars="0" w:start="0" w:endChars="0" w:end="0"/>
        <w:rPr>
          <w:rFonts w:ascii="仿宋" w:hAnsi="仿宋" w:eastAsia="仿宋" w:cs="仿宋"/>
          <w:b w:val="false"/>
          <w:bCs/>
          <w:sz w:val="32"/>
          <w:szCs w:val="32"/>
        </w:rPr>
      </w:pPr>
      <w:r>
        <w:rPr>
          <w:rFonts w:ascii="黑体" w:hAnsi="黑体" w:cs="黑体" w:hint="eastAsia" w:eastAsia="黑体"/>
          <w:b w:val="false"/>
          <w:bCs/>
          <w:kern w:val="0"/>
          <w:sz w:val="32"/>
          <w:szCs w:val="32"/>
        </w:rPr>
        <w:t>第十一条</w:t>
      </w:r>
      <w:r>
        <w:rPr>
          <w:rFonts w:ascii="仿宋" w:hAnsi="仿宋" w:cs="仿宋" w:hint="eastAsia" w:eastAsia="仿宋"/>
          <w:b w:val="false"/>
          <w:bCs/>
          <w:sz w:val="32"/>
          <w:szCs w:val="32"/>
        </w:rPr>
        <w:t xml:space="preserve"> 设计、施工、监理、建设等单位应当遵守下列规定：</w:t>
      </w:r>
    </w:p>
    <w:p>
      <w:pPr>
        <w:pStyle w:val="Normal"/>
        <w:spacing w:lineRule="exact" w:line="600"/>
        <w:ind w:firstLineChars="200" w:startChars="0" w:start="0" w:endChars="0" w:end="0"/>
        <w:rPr>
          <w:rFonts w:ascii="仿宋" w:hAnsi="仿宋" w:eastAsia="仿宋" w:cs="仿宋"/>
          <w:b w:val="false"/>
          <w:bCs/>
          <w:sz w:val="32"/>
          <w:szCs w:val="32"/>
        </w:rPr>
      </w:pPr>
      <w:r>
        <w:rPr>
          <w:rFonts w:ascii="仿宋" w:hAnsi="仿宋" w:cs="仿宋" w:hint="eastAsia" w:eastAsia="仿宋"/>
          <w:b w:val="false"/>
          <w:bCs/>
          <w:sz w:val="32"/>
          <w:szCs w:val="32"/>
        </w:rPr>
        <w:t>（一）海绵城市设施应当与建设工程项目主体工程同步设计、同步施工、同步交付使用；</w:t>
      </w:r>
    </w:p>
    <w:p>
      <w:pPr>
        <w:pStyle w:val="Normal"/>
        <w:spacing w:lineRule="exact" w:line="600"/>
        <w:ind w:firstLineChars="200" w:startChars="0" w:start="0" w:endChars="0" w:end="0"/>
        <w:rPr>
          <w:rFonts w:ascii="仿宋" w:hAnsi="仿宋" w:eastAsia="仿宋" w:cs="仿宋"/>
          <w:b w:val="false"/>
          <w:bCs/>
          <w:sz w:val="32"/>
          <w:szCs w:val="32"/>
        </w:rPr>
      </w:pPr>
      <w:r>
        <w:rPr>
          <w:rFonts w:ascii="仿宋" w:hAnsi="仿宋" w:cs="仿宋" w:hint="eastAsia" w:eastAsia="仿宋"/>
          <w:b w:val="false"/>
          <w:bCs/>
          <w:sz w:val="32"/>
          <w:szCs w:val="32"/>
        </w:rPr>
        <w:t>（二）设计单位在项目方案设计、初步设计和施工图设计中应当设置海绵城市建设专篇；</w:t>
      </w:r>
    </w:p>
    <w:p>
      <w:pPr>
        <w:pStyle w:val="Normal"/>
        <w:spacing w:lineRule="exact" w:line="600"/>
        <w:ind w:firstLineChars="200" w:startChars="0" w:start="0" w:endChars="0" w:end="0"/>
        <w:rPr>
          <w:rFonts w:ascii="仿宋" w:hAnsi="仿宋" w:eastAsia="仿宋" w:cs="仿宋" w:hint="eastAsia"/>
          <w:b w:val="false"/>
          <w:bCs/>
          <w:sz w:val="32"/>
          <w:szCs w:val="32"/>
        </w:rPr>
      </w:pPr>
      <w:r>
        <w:rPr>
          <w:rFonts w:ascii="仿宋" w:hAnsi="仿宋" w:cs="仿宋" w:hint="eastAsia" w:eastAsia="仿宋"/>
          <w:b w:val="false"/>
          <w:bCs/>
          <w:sz w:val="32"/>
          <w:szCs w:val="32"/>
        </w:rPr>
        <w:t>（三）施工单位应当对海绵城市建设使用的原材料、半成品、构配件和设备进行检验；隐蔽工程在隐蔽前应当通知建设单位和建设工程质量监督机构进行检查；</w:t>
      </w:r>
    </w:p>
    <w:p>
      <w:pPr>
        <w:pStyle w:val="Normal"/>
        <w:spacing w:lineRule="exact" w:line="600"/>
        <w:ind w:firstLineChars="200" w:startChars="0" w:start="0" w:endChars="0" w:end="0"/>
        <w:rPr>
          <w:rFonts w:ascii="仿宋" w:hAnsi="仿宋" w:eastAsia="仿宋" w:cs="仿宋"/>
          <w:b w:val="false"/>
          <w:bCs/>
          <w:sz w:val="32"/>
          <w:szCs w:val="32"/>
        </w:rPr>
      </w:pPr>
      <w:r>
        <w:rPr>
          <w:rFonts w:ascii="仿宋" w:hAnsi="仿宋" w:cs="仿宋" w:hint="eastAsia" w:eastAsia="仿宋"/>
          <w:b w:val="false"/>
          <w:bCs/>
          <w:sz w:val="32"/>
          <w:szCs w:val="32"/>
        </w:rPr>
        <w:t>（四）监理单位应当依照法律、法规以及设计文件、建设工程承包合同，对施工质量实施监理；</w:t>
      </w:r>
    </w:p>
    <w:p>
      <w:pPr>
        <w:pStyle w:val="Normal"/>
        <w:spacing w:lineRule="exact" w:line="600"/>
        <w:ind w:firstLineChars="200" w:startChars="0" w:start="0" w:endChars="0" w:end="0"/>
        <w:rPr>
          <w:rFonts w:ascii="仿宋" w:hAnsi="仿宋" w:eastAsia="仿宋" w:cs="仿宋"/>
          <w:b w:val="false"/>
          <w:bCs/>
          <w:szCs w:val="32"/>
          <w:highlight w:val="yellow"/>
        </w:rPr>
      </w:pPr>
      <w:r>
        <w:rPr>
          <w:rFonts w:ascii="仿宋" w:hAnsi="仿宋" w:cs="仿宋" w:hint="eastAsia" w:eastAsia="仿宋"/>
          <w:b w:val="false"/>
          <w:bCs/>
          <w:sz w:val="32"/>
          <w:szCs w:val="32"/>
        </w:rPr>
        <w:t>（五）建设单位应当在项目建议书、可行性研究报告和设计招标文件中明确海绵城市建设相关要求，并将海绵城市建设纳入工程竣工验收，验收合格后，方可交付使用。</w:t>
      </w:r>
    </w:p>
    <w:p>
      <w:pPr>
        <w:pStyle w:val="Normal"/>
        <w:spacing w:lineRule="exact" w:line="600"/>
        <w:ind w:firstLineChars="200" w:startChars="0" w:start="0" w:endChars="0" w:end="0"/>
        <w:rPr>
          <w:rFonts w:ascii="仿宋" w:hAnsi="仿宋" w:eastAsia="仿宋" w:cs="仿宋"/>
          <w:b w:val="false"/>
          <w:bCs/>
          <w:sz w:val="32"/>
          <w:szCs w:val="32"/>
        </w:rPr>
      </w:pPr>
      <w:r>
        <w:rPr>
          <w:rFonts w:ascii="黑体" w:hAnsi="黑体" w:cs="黑体" w:hint="eastAsia" w:eastAsia="黑体"/>
          <w:b w:val="false"/>
          <w:bCs/>
          <w:sz w:val="32"/>
          <w:szCs w:val="32"/>
        </w:rPr>
        <w:t>第十二条</w:t>
      </w:r>
      <w:r>
        <w:rPr>
          <w:rFonts w:ascii="仿宋" w:hAnsi="仿宋" w:cs="仿宋" w:hint="eastAsia" w:eastAsia="仿宋"/>
          <w:b w:val="false"/>
          <w:bCs/>
          <w:sz w:val="32"/>
          <w:szCs w:val="32"/>
        </w:rPr>
        <w:t xml:space="preserve"> 海绵城市设施运营维护单位应当按照下列规定确定主体责任，并负责海绵城市设施的运营维护，确保设施正常、安全运行：</w:t>
      </w:r>
    </w:p>
    <w:p>
      <w:pPr>
        <w:pStyle w:val="Normal"/>
        <w:spacing w:lineRule="exact" w:line="600"/>
        <w:ind w:firstLineChars="200" w:startChars="0" w:start="0" w:endChars="0" w:end="0"/>
        <w:rPr>
          <w:rFonts w:ascii="仿宋" w:hAnsi="仿宋" w:eastAsia="仿宋" w:cs="仿宋"/>
          <w:b w:val="false"/>
          <w:bCs/>
          <w:sz w:val="32"/>
          <w:szCs w:val="32"/>
        </w:rPr>
      </w:pPr>
      <w:r>
        <w:rPr>
          <w:rFonts w:ascii="仿宋" w:hAnsi="仿宋" w:cs="仿宋" w:hint="eastAsia" w:eastAsia="仿宋"/>
          <w:b w:val="false"/>
          <w:bCs/>
          <w:sz w:val="32"/>
          <w:szCs w:val="32"/>
        </w:rPr>
        <w:t>（一）公共项目的海绵城市设施，由行业主管部门按照职责分工负责；</w:t>
      </w:r>
    </w:p>
    <w:p>
      <w:pPr>
        <w:pStyle w:val="Normal"/>
        <w:spacing w:lineRule="exact" w:line="600"/>
        <w:ind w:firstLineChars="200" w:startChars="0" w:start="0" w:endChars="0" w:end="0"/>
        <w:rPr>
          <w:rFonts w:ascii="仿宋" w:hAnsi="仿宋" w:eastAsia="仿宋" w:cs="仿宋"/>
          <w:b w:val="false"/>
          <w:bCs/>
          <w:sz w:val="32"/>
          <w:szCs w:val="32"/>
        </w:rPr>
      </w:pPr>
      <w:r>
        <w:rPr>
          <w:rFonts w:ascii="仿宋" w:hAnsi="仿宋" w:cs="仿宋" w:hint="eastAsia" w:eastAsia="仿宋"/>
          <w:b w:val="false"/>
          <w:bCs/>
          <w:sz w:val="32"/>
          <w:szCs w:val="32"/>
        </w:rPr>
        <w:t>（二）其他海绵城市设施，由设施所有者负责。</w:t>
      </w:r>
    </w:p>
    <w:p>
      <w:pPr>
        <w:pStyle w:val="Normal"/>
        <w:spacing w:lineRule="exact" w:line="600"/>
        <w:ind w:firstLineChars="200" w:startChars="0" w:start="0" w:endChars="0" w:end="0"/>
        <w:rPr>
          <w:rFonts w:ascii="仿宋" w:hAnsi="仿宋" w:eastAsia="仿宋" w:cs="仿宋"/>
          <w:b w:val="false"/>
          <w:bCs/>
          <w:sz w:val="32"/>
          <w:szCs w:val="32"/>
        </w:rPr>
      </w:pPr>
      <w:r>
        <w:rPr>
          <w:rFonts w:ascii="仿宋" w:hAnsi="仿宋" w:cs="仿宋" w:hint="eastAsia" w:eastAsia="仿宋"/>
          <w:b w:val="false"/>
          <w:bCs/>
          <w:sz w:val="32"/>
          <w:szCs w:val="32"/>
        </w:rPr>
        <w:t>主体责任不明确的，由住房和城乡建设部门确定。</w:t>
      </w:r>
    </w:p>
    <w:p>
      <w:pPr>
        <w:pStyle w:val="Normal"/>
        <w:spacing w:lineRule="exact" w:line="600"/>
        <w:ind w:firstLineChars="200" w:startChars="0" w:start="0" w:endChars="0" w:end="0"/>
        <w:rPr>
          <w:rFonts w:ascii="仿宋" w:hAnsi="仿宋" w:eastAsia="仿宋" w:cs="仿宋"/>
          <w:b w:val="false"/>
          <w:bCs/>
          <w:sz w:val="32"/>
          <w:szCs w:val="32"/>
        </w:rPr>
      </w:pPr>
      <w:r>
        <w:rPr>
          <w:rFonts w:ascii="黑体" w:hAnsi="黑体" w:cs="黑体" w:hint="eastAsia" w:eastAsia="黑体"/>
          <w:b w:val="false"/>
          <w:bCs/>
          <w:sz w:val="32"/>
          <w:szCs w:val="32"/>
        </w:rPr>
        <w:t>第十三条</w:t>
      </w:r>
      <w:r>
        <w:rPr>
          <w:rFonts w:ascii="仿宋" w:hAnsi="仿宋" w:cs="仿宋" w:hint="eastAsia" w:eastAsia="仿宋"/>
          <w:b w:val="false"/>
          <w:bCs/>
          <w:sz w:val="32"/>
          <w:szCs w:val="32"/>
        </w:rPr>
        <w:t xml:space="preserve"> 海绵城市设施运营维护单位应当建立海绵城市设施管理制度和操作规程，配备专人管理，定期对设施进行监测评估。</w:t>
      </w:r>
    </w:p>
    <w:p>
      <w:pPr>
        <w:pStyle w:val="Normal"/>
        <w:spacing w:lineRule="exact" w:line="600"/>
        <w:ind w:firstLineChars="200" w:startChars="0" w:start="0" w:endChars="0" w:end="0"/>
        <w:rPr>
          <w:rFonts w:ascii="仿宋" w:hAnsi="仿宋" w:eastAsia="仿宋" w:cs="仿宋"/>
          <w:b w:val="false"/>
          <w:bCs/>
          <w:sz w:val="32"/>
          <w:szCs w:val="32"/>
        </w:rPr>
      </w:pPr>
      <w:r>
        <w:rPr>
          <w:rFonts w:ascii="黑体" w:hAnsi="黑体" w:cs="黑体" w:hint="eastAsia" w:eastAsia="黑体"/>
          <w:b w:val="false"/>
          <w:bCs/>
          <w:sz w:val="32"/>
          <w:szCs w:val="32"/>
        </w:rPr>
        <w:t>第十四条</w:t>
      </w:r>
      <w:r>
        <w:rPr>
          <w:rFonts w:ascii="仿宋" w:hAnsi="仿宋" w:cs="仿宋" w:hint="eastAsia" w:eastAsia="仿宋"/>
          <w:b w:val="false"/>
          <w:bCs/>
          <w:sz w:val="32"/>
          <w:szCs w:val="32"/>
        </w:rPr>
        <w:t xml:space="preserve"> 海绵城市设施运营维护单位应当在城市雨水行泄通道、绿地湿塘、雨水湿地等区域设置必要的警示标识和监测预警装置，制定应急处理措施。</w:t>
      </w:r>
    </w:p>
    <w:p>
      <w:pPr>
        <w:pStyle w:val="Normal"/>
        <w:spacing w:lineRule="exact" w:line="600"/>
        <w:ind w:firstLineChars="200" w:startChars="0" w:start="0" w:endChars="0" w:end="0"/>
        <w:rPr>
          <w:rFonts w:ascii="仿宋" w:hAnsi="仿宋" w:eastAsia="仿宋" w:cs="仿宋" w:hint="eastAsia"/>
          <w:b w:val="false"/>
          <w:bCs/>
          <w:sz w:val="32"/>
          <w:szCs w:val="32"/>
        </w:rPr>
      </w:pPr>
      <w:r>
        <w:rPr>
          <w:rFonts w:ascii="黑体" w:hAnsi="黑体" w:cs="黑体" w:hint="eastAsia" w:eastAsia="黑体"/>
          <w:b w:val="false"/>
          <w:bCs/>
          <w:sz w:val="32"/>
          <w:szCs w:val="32"/>
        </w:rPr>
        <w:t>第十五条</w:t>
      </w:r>
      <w:r>
        <w:rPr>
          <w:rFonts w:ascii="仿宋" w:hAnsi="仿宋" w:cs="仿宋" w:hint="eastAsia" w:eastAsia="仿宋"/>
          <w:b w:val="false"/>
          <w:bCs/>
          <w:sz w:val="32"/>
          <w:szCs w:val="32"/>
        </w:rPr>
        <w:t xml:space="preserve"> 任何单位和个人不得擅自占用、改动、拆除或者损毁、危害海绵城市设施。</w:t>
      </w:r>
    </w:p>
    <w:p>
      <w:pPr>
        <w:pStyle w:val="2"/>
        <w:ind w:firstLineChars="200" w:endChars="0" w:end="0"/>
        <w:rPr>
          <w:rFonts w:eastAsia="仿宋" w:hint="eastAsia"/>
          <w:b w:val="false"/>
          <w:bCs/>
        </w:rPr>
      </w:pPr>
      <w:r>
        <w:rPr>
          <w:rFonts w:ascii="黑体" w:hAnsi="黑体" w:cs="黑体" w:hint="eastAsia" w:eastAsia="黑体"/>
          <w:b w:val="false"/>
          <w:bCs/>
          <w:sz w:val="32"/>
          <w:szCs w:val="32"/>
        </w:rPr>
        <w:t>第十六条</w:t>
      </w:r>
      <w:r>
        <w:rPr>
          <w:rFonts w:ascii="仿宋" w:hAnsi="仿宋" w:cs="仿宋" w:hint="eastAsia" w:eastAsia="仿宋"/>
          <w:b w:val="false"/>
          <w:bCs/>
          <w:sz w:val="32"/>
          <w:szCs w:val="32"/>
        </w:rPr>
        <w:t xml:space="preserve"> 因城市管理、项目建设或者其他原因，占用、改动、拆除公共项目的海绵城市设施应当经相关行业主管部门同意，占用、改动、拆除其他海绵城市设施应当经设施所有者同意。</w:t>
      </w:r>
    </w:p>
    <w:p>
      <w:pPr>
        <w:pStyle w:val="Normal"/>
        <w:spacing w:lineRule="exact" w:line="600"/>
        <w:ind w:firstLineChars="200" w:startChars="0" w:start="0" w:endChars="0" w:end="0"/>
        <w:rPr>
          <w:rFonts w:ascii="仿宋" w:hAnsi="仿宋" w:eastAsia="仿宋" w:cs="仿宋"/>
          <w:b w:val="false"/>
          <w:bCs/>
          <w:sz w:val="32"/>
          <w:szCs w:val="32"/>
        </w:rPr>
      </w:pPr>
      <w:r>
        <w:rPr>
          <w:rFonts w:ascii="黑体" w:hAnsi="黑体" w:cs="黑体" w:hint="eastAsia" w:eastAsia="黑体"/>
          <w:b w:val="false"/>
          <w:bCs/>
          <w:sz w:val="32"/>
          <w:szCs w:val="32"/>
        </w:rPr>
        <w:t>第十七条</w:t>
      </w:r>
      <w:r>
        <w:rPr>
          <w:rFonts w:ascii="仿宋" w:hAnsi="仿宋" w:cs="仿宋" w:hint="eastAsia" w:eastAsia="仿宋"/>
          <w:b w:val="false"/>
          <w:bCs/>
          <w:sz w:val="32"/>
          <w:szCs w:val="32"/>
        </w:rPr>
        <w:t xml:space="preserve"> 违反本条例规定的行为，依据有关法律法规规定追究法律责任。</w:t>
      </w:r>
    </w:p>
    <w:p>
      <w:pPr>
        <w:pStyle w:val="Normal"/>
        <w:spacing w:lineRule="exact" w:line="600"/>
        <w:ind w:firstLineChars="200" w:startChars="0" w:start="0" w:endChars="0" w:end="0"/>
        <w:rPr/>
      </w:pPr>
      <w:r>
        <w:rPr>
          <w:rFonts w:ascii="黑体" w:hAnsi="黑体" w:cs="黑体" w:hint="eastAsia" w:eastAsia="黑体"/>
          <w:b w:val="false"/>
          <w:bCs/>
          <w:sz w:val="32"/>
          <w:szCs w:val="32"/>
        </w:rPr>
        <w:t>第十八条</w:t>
      </w:r>
      <w:r>
        <w:rPr>
          <w:rFonts w:ascii="仿宋" w:hAnsi="仿宋" w:cs="仿宋" w:hint="eastAsia" w:eastAsia="仿宋"/>
          <w:b w:val="false"/>
          <w:bCs/>
          <w:sz w:val="32"/>
          <w:szCs w:val="32"/>
        </w:rPr>
        <w:t xml:space="preserve"> 本条例自</w:t>
      </w:r>
      <w:r>
        <w:rPr>
          <w:rFonts w:eastAsia="仿宋" w:cs="仿宋" w:hint="eastAsia" w:ascii="仿宋" w:hAnsi="仿宋"/>
          <w:b w:val="false"/>
          <w:bCs/>
          <w:sz w:val="32"/>
          <w:szCs w:val="32"/>
        </w:rPr>
        <w:t>2022</w:t>
      </w:r>
      <w:r>
        <w:rPr>
          <w:rFonts w:ascii="仿宋" w:hAnsi="仿宋" w:cs="仿宋" w:hint="eastAsia" w:eastAsia="仿宋"/>
          <w:b w:val="false"/>
          <w:bCs/>
          <w:sz w:val="32"/>
          <w:szCs w:val="32"/>
        </w:rPr>
        <w:t>年</w:t>
      </w:r>
      <w:r>
        <w:rPr>
          <w:rFonts w:eastAsia="仿宋" w:cs="仿宋" w:hint="eastAsia" w:ascii="仿宋" w:hAnsi="仿宋"/>
          <w:b w:val="false"/>
          <w:bCs/>
          <w:sz w:val="32"/>
          <w:szCs w:val="32"/>
        </w:rPr>
        <w:t>11</w:t>
      </w:r>
      <w:r>
        <w:rPr>
          <w:rFonts w:ascii="仿宋" w:hAnsi="仿宋" w:cs="仿宋" w:hint="eastAsia" w:eastAsia="仿宋"/>
          <w:b w:val="false"/>
          <w:bCs/>
          <w:sz w:val="32"/>
          <w:szCs w:val="32"/>
        </w:rPr>
        <w:t>月</w:t>
      </w:r>
      <w:r>
        <w:rPr>
          <w:rFonts w:eastAsia="仿宋" w:cs="仿宋" w:hint="eastAsia" w:ascii="仿宋" w:hAnsi="仿宋"/>
          <w:b w:val="false"/>
          <w:bCs/>
          <w:sz w:val="32"/>
          <w:szCs w:val="32"/>
        </w:rPr>
        <w:t>1</w:t>
      </w:r>
      <w:r>
        <w:rPr>
          <w:rFonts w:ascii="仿宋" w:hAnsi="仿宋" w:cs="仿宋" w:hint="eastAsia" w:eastAsia="仿宋"/>
          <w:b w:val="false"/>
          <w:bCs/>
          <w:sz w:val="32"/>
          <w:szCs w:val="32"/>
        </w:rPr>
        <w:t>日起施行。</w:t>
      </w:r>
    </w:p>
    <w:p>
      <w:pPr>
        <w:pStyle w:val="Normal"/>
        <w:rPr/>
      </w:pPr>
      <w:r>
        <w:rPr/>
      </w:r>
    </w:p>
    <w:p>
      <w:pPr>
        <w:pStyle w:val="Normal"/>
        <w:rPr/>
      </w:pPr>
      <w:r>
        <w:rPr/>
      </w:r>
    </w:p>
    <w:sectPr>
      <w:type w:val="nextPage"/>
      <w:pgSz w:w="11906" w:h="16838"/>
      <w:pgMar w:left="1800" w:right="1800" w:gutter="0" w:header="0" w:top="1440" w:footer="0" w:bottom="1440"/>
      <w:pgNumType w:fmt="decimal"/>
      <w:formProt w:val="false"/>
      <w:textDirection w:val="lrTb"/>
      <w:docGrid w:type="lines" w:linePitch="314"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default"/>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楷体">
    <w:charset w:val="86"/>
    <w:family w:val="modern"/>
    <w:pitch w:val="default"/>
  </w:font>
  <w:font w:name="仿宋">
    <w:charset w:val="86"/>
    <w:family w:val="auto"/>
    <w:pitch w:val="default"/>
  </w:font>
  <w:font w:name="仿宋_GB2312">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ZTdmNjI2MDVlYWYwN2UyZjQyMzgyNzkxNTkyN2FmNzg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exact" w:line="760" w:before="340" w:after="330"/>
      <w:outlineLvl w:val="0"/>
    </w:pPr>
    <w:rPr>
      <w:rFonts w:ascii="Calibri" w:hAnsi="Calibri" w:eastAsia="方正小标宋_GBK" w:cs="Times New Roman"/>
      <w:kern w:val="2"/>
      <w:sz w:val="44"/>
    </w:rPr>
  </w:style>
  <w:style w:type="character" w:styleId="Style13">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570" w:start="0" w:end="0"/>
    </w:pPr>
    <w:rPr>
      <w:sz w:val="32"/>
    </w:rPr>
  </w:style>
  <w:style w:type="paragraph" w:styleId="2">
    <w:name w:val="正文首行缩进 2"/>
    <w:basedOn w:val="BodyTextIndent"/>
    <w:qFormat/>
    <w:pPr>
      <w:ind w:firstLineChars="0" w:firstLine="0" w:startChars="0" w:start="0" w:endChars="0" w:end="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法工委</cp:lastModifiedBy>
  <dcterms:modified xsi:type="dcterms:W3CDTF">2022-10-21T14:50:21Z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AE488B0C42C441E8AD6D68667353990F</vt:lpwstr>
  </property>
  <property fmtid="{D5CDD505-2E9C-101B-9397-08002B2CF9AE}" pid="3" name="KSOProductBuildVer">
    <vt:lpwstr>2052-11.1.0.12598</vt:lpwstr>
  </property>
</Properties>
</file>