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方正小标宋简体" w:hAnsi="方正小标宋简体" w:eastAsia="方正小标宋简体" w:cs="方正小标宋简体" w:hint="eastAsia"/>
          <w:color w:val="000000"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方正小标宋简体" w:hAnsi="方正小标宋简体" w:eastAsia="方正小标宋简体" w:cs="方正小标宋简体" w:hint="eastAsia"/>
          <w:color w:val="000000"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黑体" w:hAnsi="黑体" w:eastAsia="黑体" w:cs="黑体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44"/>
          <w:szCs w:val="44"/>
        </w:rPr>
        <w:t>四平市农田水网条例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Chars="200" w:startChars="0" w:start="0" w:endChars="0" w:end="0"/>
        <w:jc w:val="both"/>
        <w:textAlignment w:val="auto"/>
        <w:rPr>
          <w:rFonts w:ascii="楷体" w:hAnsi="楷体" w:eastAsia="楷体_GB2312" w:cs="楷体" w:hint="eastAsia"/>
          <w:color w:val="000000"/>
          <w:sz w:val="32"/>
          <w:szCs w:val="32"/>
        </w:rPr>
      </w:pPr>
      <w:r>
        <w:rPr>
          <w:rFonts w:eastAsia="楷体_GB2312" w:cs="楷体" w:hint="eastAsia" w:ascii="楷体" w:hAnsi="楷体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Chars="200" w:startChars="0" w:start="0" w:endChars="0" w:end="0"/>
        <w:jc w:val="both"/>
        <w:textAlignment w:val="auto"/>
        <w:rPr>
          <w:rFonts w:ascii="楷体" w:hAnsi="楷体" w:eastAsia="楷体_GB2312" w:cs="楷体"/>
          <w:sz w:val="32"/>
          <w:szCs w:val="32"/>
        </w:rPr>
      </w:pPr>
      <w:r>
        <w:rPr>
          <w:rFonts w:ascii="楷体" w:hAnsi="楷体" w:cs="楷体" w:hint="eastAsia" w:eastAsia="楷体_GB2312"/>
          <w:sz w:val="32"/>
          <w:szCs w:val="32"/>
        </w:rPr>
        <w:t>（</w:t>
      </w:r>
      <w:r>
        <w:rPr>
          <w:rFonts w:eastAsia="楷体_GB2312" w:cs="楷体" w:hint="eastAsia" w:ascii="楷体" w:hAnsi="楷体"/>
          <w:sz w:val="32"/>
          <w:szCs w:val="32"/>
        </w:rPr>
        <w:t>2022</w:t>
      </w:r>
      <w:r>
        <w:rPr>
          <w:rFonts w:ascii="楷体" w:hAnsi="楷体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" w:hAnsi="楷体"/>
          <w:sz w:val="32"/>
          <w:szCs w:val="32"/>
        </w:rPr>
        <w:t>10</w:t>
      </w:r>
      <w:r>
        <w:rPr>
          <w:rFonts w:ascii="楷体" w:hAnsi="楷体" w:cs="楷体" w:hint="eastAsia" w:eastAsia="楷体_GB2312"/>
          <w:sz w:val="32"/>
          <w:szCs w:val="32"/>
        </w:rPr>
        <w:t>月</w:t>
      </w:r>
      <w:r>
        <w:rPr>
          <w:rFonts w:eastAsia="楷体_GB2312" w:cs="楷体" w:hint="eastAsia" w:ascii="楷体" w:hAnsi="楷体"/>
          <w:sz w:val="32"/>
          <w:szCs w:val="32"/>
        </w:rPr>
        <w:t>21</w:t>
      </w:r>
      <w:r>
        <w:rPr>
          <w:rFonts w:ascii="楷体" w:hAnsi="楷体" w:cs="楷体" w:hint="eastAsia" w:eastAsia="楷体_GB2312"/>
          <w:sz w:val="32"/>
          <w:szCs w:val="32"/>
        </w:rPr>
        <w:t xml:space="preserve">日四平市第九届人民代表大会常务委员会第五次会议通过 </w:t>
      </w:r>
      <w:r>
        <w:rPr>
          <w:rFonts w:eastAsia="楷体_GB2312" w:cs="楷体" w:hint="eastAsia" w:ascii="楷体" w:hAnsi="楷体"/>
          <w:sz w:val="32"/>
          <w:szCs w:val="32"/>
        </w:rPr>
        <w:t>2022</w:t>
      </w:r>
      <w:r>
        <w:rPr>
          <w:rFonts w:ascii="楷体" w:hAnsi="楷体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" w:hAnsi="楷体"/>
          <w:sz w:val="32"/>
          <w:szCs w:val="32"/>
        </w:rPr>
        <w:t>11</w:t>
      </w:r>
      <w:r>
        <w:rPr>
          <w:rFonts w:ascii="楷体" w:hAnsi="楷体" w:cs="楷体" w:hint="eastAsia" w:eastAsia="楷体_GB2312"/>
          <w:sz w:val="32"/>
          <w:szCs w:val="32"/>
        </w:rPr>
        <w:t>月</w:t>
      </w:r>
      <w:r>
        <w:rPr>
          <w:rFonts w:eastAsia="楷体_GB2312" w:cs="楷体" w:hint="eastAsia" w:ascii="楷体" w:hAnsi="楷体"/>
          <w:sz w:val="32"/>
          <w:szCs w:val="32"/>
        </w:rPr>
        <w:t>30</w:t>
      </w:r>
      <w:r>
        <w:rPr>
          <w:rFonts w:ascii="楷体" w:hAnsi="楷体" w:cs="楷体" w:hint="eastAsia" w:eastAsia="楷体_GB2312"/>
          <w:sz w:val="32"/>
          <w:szCs w:val="32"/>
        </w:rPr>
        <w:t>日吉林省第十三届人民代表大会常务委员会第三十七次会议批准）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黑体" w:hAnsi="黑体" w:eastAsia="黑体" w:cs="黑体" w:hint="eastAsia"/>
          <w:color w:val="000000"/>
          <w:sz w:val="32"/>
          <w:szCs w:val="32"/>
        </w:rPr>
      </w:pPr>
      <w:r>
        <w:rPr>
          <w:rFonts w:eastAsia="黑体" w:cs="黑体" w:hint="eastAsia" w:ascii="黑体" w:hAnsi="黑体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第一条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为加强农田水网管理，确保农田水网畅通，提高农业抵御自然灾害和</w:t>
      </w:r>
      <w:r>
        <w:rPr>
          <w:rFonts w:ascii="仿宋_GB2312" w:hAnsi="仿宋_GB2312" w:eastAsia="仿宋_GB2312"/>
          <w:color w:val="000000"/>
          <w:sz w:val="32"/>
          <w:szCs w:val="32"/>
        </w:rPr>
        <w:t>综合生产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能力，依据《农田水利条例》等有关法律法规，结合本市实际，制定本条例。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黑体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第二条 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本条例适用于本市行政区域内农田水网修建、管护。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本条例所称</w:t>
      </w:r>
      <w:r>
        <w:rPr>
          <w:rFonts w:ascii="仿宋_GB2312" w:hAnsi="仿宋_GB2312" w:cs="黑体" w:eastAsia="仿宋_GB2312"/>
          <w:color w:val="000000"/>
          <w:sz w:val="32"/>
          <w:szCs w:val="32"/>
        </w:rPr>
        <w:t>农田水网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，是指农田及周边用于排水、灌溉的</w:t>
      </w:r>
      <w:r>
        <w:rPr>
          <w:rFonts w:ascii="仿宋_GB2312" w:hAnsi="仿宋_GB2312" w:cs="Times New Roman" w:hint="eastAsia" w:eastAsia="仿宋_GB2312"/>
          <w:color w:val="000000"/>
          <w:sz w:val="32"/>
          <w:szCs w:val="32"/>
          <w:lang w:bidi="ar"/>
        </w:rPr>
        <w:t>小微型水利设施，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包括专门修</w:t>
      </w:r>
      <w:r>
        <w:rPr>
          <w:rFonts w:ascii="仿宋_GB2312" w:hAnsi="仿宋_GB2312" w:cs="Times New Roman" w:hint="eastAsia" w:eastAsia="仿宋_GB2312"/>
          <w:color w:val="000000"/>
          <w:sz w:val="32"/>
          <w:szCs w:val="32"/>
        </w:rPr>
        <w:t>建和有关工程项目中修建的沟渠、桥涵、机井等。但需要依法履行基本建设程序的水利工程措施除外。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第三条 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市、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县（市）区人民</w:t>
      </w:r>
      <w:r>
        <w:rPr>
          <w:rFonts w:ascii="仿宋_GB2312" w:hAnsi="仿宋_GB2312" w:cs="黑体" w:eastAsia="仿宋_GB2312"/>
          <w:color w:val="000000"/>
          <w:sz w:val="32"/>
          <w:szCs w:val="32"/>
        </w:rPr>
        <w:t>政府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应当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将农田水网监督纳入田长制和政府绩效考核体系，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建立健全跨区域、跨行业的协调机制，统筹解决资金投入、用地保障、权责划分等重大问题。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农业农村部门负责本条例的牵头组织实施。其他有关部门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按照职责分工做好农田水网相关工作。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Times New Roman" w:hint="eastAsia" w:eastAsia="黑体"/>
          <w:color w:val="000000"/>
          <w:kern w:val="2"/>
          <w:sz w:val="32"/>
          <w:szCs w:val="32"/>
        </w:rPr>
        <w:t xml:space="preserve">第四条 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农田水网修建应当遵守下列规定：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黑体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（一）市、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县（市）区及乡（镇）人民</w:t>
      </w:r>
      <w:r>
        <w:rPr>
          <w:rFonts w:ascii="仿宋_GB2312" w:hAnsi="仿宋_GB2312" w:cs="黑体" w:eastAsia="仿宋_GB2312"/>
          <w:color w:val="000000"/>
          <w:sz w:val="32"/>
          <w:szCs w:val="32"/>
        </w:rPr>
        <w:t>政府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、街道办事处应当依法、有序组织修建辖区内被占用、损毁的农田水网；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黑体" w:hint="eastAsia"/>
          <w:color w:val="000000"/>
          <w:sz w:val="32"/>
          <w:szCs w:val="32"/>
        </w:rPr>
      </w:pP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（二）乡（镇）人民政府应当将农田水网修建纳入村庄规划；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村民委员会应当组织和动员村民修建农田水网；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黑体" w:hAnsi="黑体" w:eastAsia="黑体" w:cs="黑体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（四）占用耕地的，应当依法遵守耕地保护的有关规定；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（五）发生重大洪涝灾害时，县（市）区人民政府、乡（镇）人民政府、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街道办事处及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村民委员会可以组织人员采取挖掘沟渠等应急措施。</w:t>
      </w:r>
    </w:p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第五条 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在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工程项目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立项、施工等环节，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建设单位应当针对农田水网需要与项目所在地乡（镇）人民政府、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街道办事处及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村民委员会沟通协商。造成农田水网损毁的，应当及时修复或者采取其他有效替代措施。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黑体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第六条 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修建农田水网占用集体农用地的，应当遵守下列规定：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（一）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占用家庭承包土地和其他方式承包的荒山、荒沟、荒丘、荒滩的，应当增补土地或者依法给予补偿；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（二）占用集体预留但已经发包的土地，发包方应当依法给予适当补偿；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（三）占用擅自开垦的土地，不予补偿。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占用集体土地修建农田水网涉及农用地转为建设用地的，依据《中华人民共和国土地管理法》的有关规定办理。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第七条 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农田水网管护应当遵守下列规定：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（一）有关建设单位修建的，除依法由其自行管护外，应当按照有关规定及时移交给乡（镇）人民政府、街道办事处；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（二）乡（镇）人民政府、街道办事处应当建立健全管护制度、规范和标准，监督、指导村民委员会等进行管护；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（三）村民委员会组织修建或者有关建设单位移交的，由村民委员会登记造册，建立台账，按照权属纳入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本村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集体资产管理，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组织和动员村民进行管护。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第八条 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农田水网修建和管护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可以采取下列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多渠道、多层次、多元化方式投入：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（一）市、县（市）区人民政府应当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将农田水网修建和管护资金纳入财政年度预算；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（二）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村民委员会可以采取一事一议筹资筹劳。但应当依法召集村民会议或者村民代表会议作出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决定；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村民应当按照决定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  <w:shd w:fill="auto" w:val="clear"/>
        </w:rPr>
        <w:t>出资或者投劳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黑体" w:hint="eastAsia"/>
          <w:b w:val="false"/>
          <w:bCs w:val="false"/>
          <w:color w:val="000000"/>
          <w:sz w:val="32"/>
          <w:szCs w:val="32"/>
        </w:rPr>
      </w:pP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（三）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鼓励、引导、支持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  <w:shd w:fill="auto" w:val="clear"/>
        </w:rPr>
        <w:t>农民合作社、家庭农场、种粮大户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  <w:shd w:fill="auto" w:val="clear"/>
        </w:rPr>
        <w:t>等新型农业经营主体修建和管护农田水网。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黑体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第九条 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任何单位和个人不得从事下列行为：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（一）阻碍农田水网修建、管护或者损毁农田水网。违反本规定的，由公安机关依据《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中华人民共和国治安管理处罚法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》的有关规定处罚；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构成犯罪的，依法追究刑事责任；</w:t>
      </w:r>
    </w:p>
    <w:p>
      <w:pPr>
        <w:pStyle w:val="Normal"/>
        <w:spacing w:lineRule="atLeast" w:line="600"/>
        <w:ind w:firstLineChars="200" w:startChars="0" w:start="0" w:endChars="0" w:end="0"/>
        <w:rPr>
          <w:rFonts w:ascii="仿宋_GB2312" w:hAnsi="仿宋_GB2312" w:eastAsia="仿宋_GB2312" w:cs="黑体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（二）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在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沟渠内种植农作物、树木等擅自占用农田水网。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违反本规定的，由农业农村、水利部门按照职权责令停止违法行为，限期恢复原状或者采取补救措施；逾期不恢复原状或者采取补救措施的，依法强制执行；造成损失的，依法承担民事责任；构成违反治安管理行为的，依法给予治安管理处罚；构成犯罪的，依法追究刑事责任；</w:t>
      </w:r>
      <w:bookmarkStart w:id="0" w:name="tiao43_kuan1"/>
      <w:bookmarkEnd w:id="0"/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侵占、挪用、截留农田水网修建</w:t>
      </w:r>
      <w:r>
        <w:rPr>
          <w:rFonts w:ascii="仿宋_GB2312" w:hAnsi="仿宋_GB2312" w:cs="黑体" w:eastAsia="仿宋_GB2312"/>
          <w:color w:val="000000"/>
          <w:sz w:val="32"/>
          <w:szCs w:val="32"/>
        </w:rPr>
        <w:t>和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管护资金。违反本规定的，由有关机关给予处分；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构成犯罪的，依法追究刑事责任；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（四）村民无正当理由，拒绝承担村民会议或者村民代表会议作出的筹资筹劳决定。</w:t>
      </w:r>
      <w:r>
        <w:rPr>
          <w:rFonts w:ascii="仿宋_GB2312" w:hAnsi="仿宋_GB2312" w:cs="黑体" w:hint="eastAsia" w:eastAsia="仿宋_GB2312"/>
          <w:color w:val="000000"/>
          <w:sz w:val="32"/>
          <w:szCs w:val="32"/>
        </w:rPr>
        <w:t>违反本规定的，由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村民委员会按照村民自治章程或者村规民约进行处理。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 xml:space="preserve">第十条 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本条例自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2022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12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1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日起施行。</w:t>
      </w:r>
    </w:p>
    <w:p>
      <w:pPr>
        <w:pStyle w:val="Normal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eastAsia="黑体" w:cs="黑体" w:ascii="黑体" w:hAnsi="黑体"/>
          <w:color w:val="000000"/>
          <w:sz w:val="32"/>
          <w:szCs w:val="32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简体">
    <w:charset w:val="86"/>
    <w:family w:val="auto"/>
    <w:pitch w:val="default"/>
  </w:font>
  <w:font w:name="黑体">
    <w:charset w:val="86"/>
    <w:family w:val="auto"/>
    <w:pitch w:val="default"/>
  </w:font>
  <w:font w:name="楷体">
    <w:charset w:val="86"/>
    <w:family w:val="modern"/>
    <w:pitch w:val="default"/>
  </w:font>
  <w:font w:name="仿宋_GB2312"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TdmNjI2MDVlYWYwN2UyZjQyMzgyNzkxNTkyN2FmNz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exact" w:line="760" w:before="340" w:after="330"/>
      <w:outlineLvl w:val="0"/>
    </w:pPr>
    <w:rPr>
      <w:rFonts w:ascii="Calibri" w:hAnsi="Calibri" w:eastAsia="方正小标宋_GBK" w:cs="Times New Roman"/>
      <w:kern w:val="2"/>
      <w:sz w:val="44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正文缩进"/>
    <w:basedOn w:val="Normal"/>
    <w:next w:val="TOC2"/>
    <w:qFormat/>
    <w:pPr>
      <w:ind w:firstLineChars="200" w:startChars="0" w:start="0" w:endChars="0" w:end="0"/>
    </w:pPr>
    <w:rPr>
      <w:rFonts w:eastAsia="仿宋"/>
      <w:sz w:val="32"/>
    </w:rPr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BodyTextIndent">
    <w:name w:val="Body Text Indent"/>
    <w:basedOn w:val="Normal"/>
    <w:next w:val="Style14"/>
    <w:pPr>
      <w:ind w:firstLine="570" w:start="0" w:end="0"/>
    </w:pPr>
    <w:rPr>
      <w:sz w:val="32"/>
    </w:rPr>
  </w:style>
  <w:style w:type="paragraph" w:styleId="2">
    <w:name w:val="正文首行缩进 2"/>
    <w:basedOn w:val="BodyTextIndent"/>
    <w:next w:val="Normal"/>
    <w:qFormat/>
    <w:pPr>
      <w:ind w:firstLine="960" w:start="0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dc:language>en-US</dc:language>
  <cp:lastModifiedBy>法工委</cp:lastModifiedBy>
  <dcterms:modified xsi:type="dcterms:W3CDTF">2022-12-09T13:17:22Z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859553E5848843239D2AE2770892F488</vt:lpwstr>
  </property>
  <property fmtid="{D5CDD505-2E9C-101B-9397-08002B2CF9AE}" pid="3" name="KSOProductBuildVer">
    <vt:lpwstr>2052-11.1.0.12763</vt:lpwstr>
  </property>
</Properties>
</file>