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00"/>
        <w:jc w:val="center"/>
        <w:rPr>
          <w:rFonts w:ascii="宋体" w:hAnsi="宋体" w:eastAsia="宋体" w:cs="宋体" w:hint="eastAsia"/>
          <w:b/>
          <w:bCs/>
          <w:color w:val="000000"/>
          <w:kern w:val="2"/>
          <w:sz w:val="32"/>
          <w:szCs w:val="32"/>
          <w:highlight w:val="none"/>
        </w:rPr>
      </w:pPr>
      <w:r>
        <w:rPr>
          <w:rFonts w:eastAsia="宋体" w:cs="宋体" w:hint="eastAsia" w:ascii="宋体" w:hAnsi="宋体"/>
          <w:b/>
          <w:bCs/>
          <w:color w:val="000000"/>
          <w:kern w:val="2"/>
          <w:sz w:val="32"/>
          <w:szCs w:val="32"/>
        </w:rPr>
      </w:r>
    </w:p>
    <w:p>
      <w:pPr>
        <w:pStyle w:val="Normal"/>
        <w:spacing w:lineRule="exact" w:line="600"/>
        <w:jc w:val="center"/>
        <w:rPr>
          <w:rFonts w:ascii="宋体" w:hAnsi="宋体" w:eastAsia="宋体" w:cs="宋体" w:hint="eastAsia"/>
          <w:b/>
          <w:bCs/>
          <w:color w:val="000000"/>
          <w:kern w:val="2"/>
          <w:sz w:val="32"/>
          <w:szCs w:val="32"/>
          <w:highlight w:val="none"/>
        </w:rPr>
      </w:pPr>
      <w:r>
        <w:rPr>
          <w:rFonts w:eastAsia="宋体" w:cs="宋体" w:hint="eastAsia" w:ascii="宋体" w:hAnsi="宋体"/>
          <w:b/>
          <w:bCs/>
          <w:color w:val="000000"/>
          <w:kern w:val="2"/>
          <w:sz w:val="32"/>
          <w:szCs w:val="32"/>
        </w:rPr>
      </w:r>
    </w:p>
    <w:p>
      <w:pPr>
        <w:pStyle w:val="Normal"/>
        <w:spacing w:lineRule="exact" w:line="560"/>
        <w:jc w:val="center"/>
        <w:rPr>
          <w:rFonts w:ascii="宋体" w:hAnsi="宋体" w:eastAsia="宋体" w:cs="Arial" w:hint="eastAsia"/>
          <w:bCs/>
          <w:sz w:val="44"/>
          <w:szCs w:val="44"/>
          <w:lang w:bidi="ar-SA"/>
        </w:rPr>
      </w:pPr>
      <w:r>
        <w:rPr>
          <w:rFonts w:ascii="宋体" w:hAnsi="宋体" w:cs="Arial" w:hint="eastAsia"/>
          <w:bCs/>
          <w:sz w:val="44"/>
          <w:szCs w:val="44"/>
          <w:lang w:bidi="ar-SA"/>
        </w:rPr>
        <w:t>吉林省人民代表大会常务委员会</w:t>
      </w:r>
    </w:p>
    <w:p>
      <w:pPr>
        <w:pStyle w:val="Normal"/>
        <w:spacing w:lineRule="exact" w:line="560"/>
        <w:jc w:val="center"/>
        <w:rPr>
          <w:rFonts w:ascii="宋体" w:hAnsi="宋体" w:eastAsia="宋体" w:cs="Arial" w:hint="eastAsia"/>
          <w:bCs/>
          <w:sz w:val="44"/>
          <w:szCs w:val="44"/>
          <w:lang w:val="zh-CN" w:bidi="ar-SA"/>
        </w:rPr>
      </w:pPr>
      <w:r>
        <w:rPr>
          <w:rFonts w:ascii="宋体" w:hAnsi="宋体" w:cs="Arial" w:hint="eastAsia"/>
          <w:bCs/>
          <w:sz w:val="44"/>
          <w:szCs w:val="44"/>
          <w:lang w:val="zh-CN" w:bidi="ar-SA"/>
        </w:rPr>
        <w:t>关于废止《吉林省农民负担管理条例》等</w:t>
      </w:r>
    </w:p>
    <w:p>
      <w:pPr>
        <w:pStyle w:val="Normal"/>
        <w:spacing w:lineRule="exact" w:line="560"/>
        <w:jc w:val="center"/>
        <w:rPr>
          <w:rFonts w:ascii="宋体" w:hAnsi="宋体" w:eastAsia="宋体" w:cs="Arial" w:hint="eastAsia"/>
          <w:bCs/>
          <w:sz w:val="44"/>
          <w:szCs w:val="44"/>
          <w:lang w:val="zh-CN" w:bidi="ar-SA"/>
        </w:rPr>
      </w:pPr>
      <w:r>
        <w:rPr>
          <w:rFonts w:ascii="宋体" w:hAnsi="宋体" w:cs="Arial" w:hint="eastAsia"/>
          <w:bCs/>
          <w:sz w:val="44"/>
          <w:szCs w:val="44"/>
          <w:lang w:val="zh-CN" w:bidi="ar-SA"/>
        </w:rPr>
        <w:t>三部地方性法规的决定</w:t>
      </w:r>
    </w:p>
    <w:p>
      <w:pPr>
        <w:pStyle w:val="Normal"/>
        <w:spacing w:lineRule="exact" w:line="560"/>
        <w:jc w:val="center"/>
        <w:rPr>
          <w:rFonts w:ascii="宋体" w:hAnsi="宋体" w:eastAsia="宋体" w:cs="Arial" w:hint="eastAsia"/>
          <w:bCs/>
          <w:sz w:val="44"/>
          <w:szCs w:val="44"/>
          <w:lang w:val="zh-CN" w:bidi="ar-SA"/>
        </w:rPr>
      </w:pPr>
      <w:r>
        <w:rPr>
          <w:rFonts w:eastAsia="宋体" w:cs="Arial" w:hint="eastAsia" w:ascii="宋体" w:hAnsi="宋体"/>
          <w:bCs/>
          <w:sz w:val="44"/>
          <w:szCs w:val="44"/>
          <w:lang w:val="zh-CN" w:bidi="ar-SA"/>
        </w:rPr>
      </w:r>
    </w:p>
    <w:p>
      <w:pPr>
        <w:pStyle w:val="Normal"/>
        <w:spacing w:lineRule="exact" w:line="560"/>
        <w:ind w:hangingChars="50" w:startChars="200" w:endChars="168"/>
        <w:jc w:val="center"/>
        <w:rPr>
          <w:rFonts w:ascii="楷体_GB2312;楷体" w:hAnsi="楷体_GB2312;楷体" w:eastAsia="楷体_GB2312;楷体" w:cs="Arial" w:hint="eastAsia"/>
          <w:sz w:val="32"/>
          <w:szCs w:val="32"/>
          <w:lang w:bidi="ar-SA"/>
        </w:rPr>
      </w:pPr>
      <w:r>
        <w:rPr>
          <w:rFonts w:ascii="楷体_GB2312;楷体" w:hAnsi="楷体_GB2312;楷体" w:cs="Arial" w:hint="eastAsia" w:eastAsia="楷体_GB2312;楷体"/>
          <w:sz w:val="32"/>
          <w:szCs w:val="32"/>
          <w:lang w:bidi="ar-SA"/>
        </w:rPr>
        <w:t>（</w:t>
      </w:r>
      <w:r>
        <w:rPr>
          <w:rFonts w:eastAsia="楷体_GB2312;楷体" w:cs="Arial" w:hint="eastAsia" w:ascii="楷体_GB2312;楷体" w:hAnsi="楷体_GB2312;楷体"/>
          <w:sz w:val="32"/>
          <w:szCs w:val="32"/>
          <w:lang w:bidi="ar-SA"/>
        </w:rPr>
        <w:t>2022</w:t>
      </w:r>
      <w:r>
        <w:rPr>
          <w:rFonts w:ascii="楷体_GB2312;楷体" w:hAnsi="楷体_GB2312;楷体" w:cs="Arial" w:hint="eastAsia" w:eastAsia="楷体_GB2312;楷体"/>
          <w:sz w:val="32"/>
          <w:szCs w:val="32"/>
          <w:lang w:bidi="ar-SA"/>
        </w:rPr>
        <w:t>年</w:t>
      </w:r>
      <w:r>
        <w:rPr>
          <w:rFonts w:eastAsia="楷体_GB2312;楷体" w:cs="Arial" w:hint="eastAsia" w:ascii="楷体_GB2312;楷体" w:hAnsi="楷体_GB2312;楷体"/>
          <w:sz w:val="32"/>
          <w:szCs w:val="32"/>
          <w:lang w:bidi="ar-SA"/>
        </w:rPr>
        <w:t>9</w:t>
      </w:r>
      <w:r>
        <w:rPr>
          <w:rFonts w:ascii="楷体_GB2312;楷体" w:hAnsi="楷体_GB2312;楷体" w:cs="Arial" w:hint="eastAsia" w:eastAsia="楷体_GB2312;楷体"/>
          <w:sz w:val="32"/>
          <w:szCs w:val="32"/>
          <w:lang w:bidi="ar-SA"/>
        </w:rPr>
        <w:t>月</w:t>
      </w:r>
      <w:r>
        <w:rPr>
          <w:rFonts w:eastAsia="楷体_GB2312;楷体" w:cs="Arial" w:hint="eastAsia" w:ascii="楷体_GB2312;楷体" w:hAnsi="楷体_GB2312;楷体"/>
          <w:sz w:val="32"/>
          <w:szCs w:val="32"/>
          <w:lang w:bidi="ar-SA"/>
        </w:rPr>
        <w:t>28</w:t>
      </w:r>
      <w:r>
        <w:rPr>
          <w:rFonts w:ascii="楷体_GB2312;楷体" w:hAnsi="楷体_GB2312;楷体" w:cs="Arial" w:hint="eastAsia" w:eastAsia="楷体_GB2312;楷体"/>
          <w:sz w:val="32"/>
          <w:szCs w:val="32"/>
          <w:lang w:bidi="ar-SA"/>
        </w:rPr>
        <w:t>日吉林省第十三届人民代表大会</w:t>
      </w:r>
    </w:p>
    <w:p>
      <w:pPr>
        <w:pStyle w:val="Normal"/>
        <w:spacing w:lineRule="exact" w:line="560"/>
        <w:ind w:hangingChars="50" w:startChars="200" w:endChars="168"/>
        <w:jc w:val="center"/>
        <w:rPr>
          <w:rFonts w:ascii="楷体_GB2312;楷体" w:hAnsi="楷体_GB2312;楷体" w:eastAsia="楷体_GB2312;楷体" w:cs="Arial" w:hint="eastAsia"/>
          <w:sz w:val="32"/>
          <w:szCs w:val="32"/>
          <w:lang w:bidi="ar-SA"/>
        </w:rPr>
      </w:pPr>
      <w:r>
        <w:rPr>
          <w:rFonts w:ascii="楷体_GB2312;楷体" w:hAnsi="楷体_GB2312;楷体" w:cs="Arial" w:hint="eastAsia" w:eastAsia="楷体_GB2312;楷体"/>
          <w:sz w:val="32"/>
          <w:szCs w:val="32"/>
          <w:lang w:bidi="ar-SA"/>
        </w:rPr>
        <w:t>常务委员会第三十六次会议通过）</w:t>
      </w:r>
    </w:p>
    <w:p>
      <w:pPr>
        <w:pStyle w:val="Normal"/>
        <w:ind w:firstLineChars="0" w:firstLine="0" w:startChars="0" w:start="0" w:endChars="0" w:end="0"/>
        <w:jc w:val="both"/>
        <w:rPr>
          <w:rFonts w:ascii="宋体" w:hAnsi="宋体" w:eastAsia="宋体" w:cs="宋体" w:hint="eastAsia"/>
          <w:sz w:val="32"/>
          <w:szCs w:val="32"/>
          <w:lang w:bidi="ar-SA"/>
        </w:rPr>
      </w:pPr>
      <w:r>
        <w:rPr>
          <w:rFonts w:eastAsia="宋体" w:cs="宋体" w:hint="eastAsia" w:ascii="宋体" w:hAnsi="宋体"/>
          <w:sz w:val="32"/>
          <w:szCs w:val="32"/>
          <w:lang w:bidi="ar-SA"/>
        </w:rPr>
      </w:r>
    </w:p>
    <w:p>
      <w:pPr>
        <w:pStyle w:val="Normal"/>
        <w:widowControl/>
        <w:spacing w:lineRule="exact" w:line="560"/>
        <w:ind w:firstLineChars="200" w:startChars="0" w:start="0" w:endChars="0" w:end="0"/>
        <w:rPr>
          <w:rFonts w:ascii="仿宋_GB2312;仿宋" w:hAnsi="仿宋_GB2312;仿宋" w:eastAsia="仿宋_GB2312;仿宋" w:cs="Arial" w:hint="eastAsia"/>
          <w:kern w:val="0"/>
          <w:sz w:val="32"/>
          <w:szCs w:val="32"/>
          <w:lang w:val="zh-CN" w:bidi="ar-SA"/>
        </w:rPr>
      </w:pPr>
      <w:r>
        <w:rPr>
          <w:rFonts w:ascii="仿宋_GB2312;仿宋" w:hAnsi="仿宋_GB2312;仿宋" w:cs="Arial" w:hint="eastAsia" w:eastAsia="仿宋_GB2312;仿宋"/>
          <w:kern w:val="0"/>
          <w:sz w:val="32"/>
          <w:szCs w:val="32"/>
          <w:lang w:val="zh-CN" w:bidi="ar-SA"/>
        </w:rPr>
        <w:t>吉林省第十三届人民代表大会常务委员会第三十六次会议决定，废止下列三部地方性法规：</w:t>
      </w:r>
    </w:p>
    <w:p>
      <w:pPr>
        <w:pStyle w:val="Normal"/>
        <w:widowControl/>
        <w:spacing w:lineRule="exact" w:line="560"/>
        <w:ind w:firstLineChars="200" w:startChars="0" w:start="0" w:endChars="0" w:end="0"/>
        <w:rPr>
          <w:rFonts w:ascii="仿宋_GB2312;仿宋" w:hAnsi="仿宋_GB2312;仿宋" w:eastAsia="仿宋_GB2312;仿宋" w:cs="Arial" w:hint="eastAsia"/>
          <w:kern w:val="0"/>
          <w:sz w:val="32"/>
          <w:szCs w:val="32"/>
          <w:lang w:val="zh-CN" w:bidi="ar-SA"/>
        </w:rPr>
      </w:pPr>
      <w:r>
        <w:rPr>
          <w:rFonts w:ascii="黑体" w:hAnsi="黑体" w:cs="黑体" w:hint="eastAsia" w:eastAsia="黑体"/>
          <w:kern w:val="0"/>
          <w:sz w:val="32"/>
          <w:szCs w:val="32"/>
          <w:lang w:val="zh-CN" w:bidi="ar-SA"/>
        </w:rPr>
        <w:t>一、</w:t>
      </w:r>
      <w:r>
        <w:rPr>
          <w:rFonts w:ascii="仿宋_GB2312;仿宋" w:hAnsi="仿宋_GB2312;仿宋" w:cs="Arial" w:hint="eastAsia" w:eastAsia="仿宋_GB2312;仿宋"/>
          <w:kern w:val="0"/>
          <w:sz w:val="32"/>
          <w:szCs w:val="32"/>
          <w:lang w:val="zh-CN" w:bidi="ar-SA"/>
        </w:rPr>
        <w:t>《吉林省农民负担管理条例》</w:t>
      </w:r>
    </w:p>
    <w:p>
      <w:pPr>
        <w:pStyle w:val="Normal"/>
        <w:widowControl/>
        <w:spacing w:lineRule="exact" w:line="560"/>
        <w:ind w:firstLineChars="200" w:startChars="0" w:start="0" w:endChars="0" w:end="0"/>
        <w:rPr>
          <w:rFonts w:ascii="仿宋_GB2312;仿宋" w:hAnsi="仿宋_GB2312;仿宋" w:eastAsia="仿宋_GB2312;仿宋" w:cs="Arial" w:hint="eastAsia"/>
          <w:kern w:val="0"/>
          <w:sz w:val="32"/>
          <w:szCs w:val="32"/>
          <w:lang w:val="zh-CN" w:bidi="ar-SA"/>
        </w:rPr>
      </w:pPr>
      <w:r>
        <w:rPr>
          <w:rFonts w:ascii="黑体" w:hAnsi="黑体" w:cs="黑体" w:hint="eastAsia" w:eastAsia="黑体"/>
          <w:kern w:val="0"/>
          <w:sz w:val="32"/>
          <w:szCs w:val="32"/>
          <w:lang w:val="zh-CN" w:bidi="ar-SA"/>
        </w:rPr>
        <w:t>二、</w:t>
      </w:r>
      <w:r>
        <w:rPr>
          <w:rFonts w:ascii="仿宋_GB2312;仿宋" w:hAnsi="仿宋_GB2312;仿宋" w:cs="Arial" w:hint="eastAsia" w:eastAsia="仿宋_GB2312;仿宋"/>
          <w:kern w:val="0"/>
          <w:sz w:val="32"/>
          <w:szCs w:val="32"/>
          <w:lang w:val="zh-CN" w:bidi="ar-SA"/>
        </w:rPr>
        <w:t>《吉林省农业集体经济组织积累资金管理条例》</w:t>
      </w:r>
    </w:p>
    <w:p>
      <w:pPr>
        <w:pStyle w:val="Normal"/>
        <w:widowControl/>
        <w:spacing w:lineRule="exact" w:line="560"/>
        <w:ind w:firstLineChars="200" w:startChars="0" w:start="0" w:endChars="0" w:end="0"/>
        <w:rPr>
          <w:rFonts w:ascii="仿宋_GB2312;仿宋" w:hAnsi="仿宋_GB2312;仿宋" w:eastAsia="仿宋_GB2312;仿宋" w:cs="Arial" w:hint="eastAsia"/>
          <w:kern w:val="0"/>
          <w:sz w:val="32"/>
          <w:szCs w:val="32"/>
          <w:lang w:val="zh-CN" w:bidi="ar-SA"/>
        </w:rPr>
      </w:pPr>
      <w:r>
        <w:rPr>
          <w:rFonts w:ascii="黑体" w:hAnsi="黑体" w:cs="黑体" w:hint="eastAsia" w:eastAsia="黑体"/>
          <w:kern w:val="0"/>
          <w:sz w:val="32"/>
          <w:szCs w:val="32"/>
          <w:lang w:val="zh-CN" w:bidi="ar-SA"/>
        </w:rPr>
        <w:t>三、</w:t>
      </w:r>
      <w:r>
        <w:rPr>
          <w:rFonts w:ascii="仿宋_GB2312;仿宋" w:hAnsi="仿宋_GB2312;仿宋" w:cs="Arial" w:hint="eastAsia" w:eastAsia="仿宋_GB2312;仿宋"/>
          <w:kern w:val="0"/>
          <w:sz w:val="32"/>
          <w:szCs w:val="32"/>
          <w:lang w:val="zh-CN" w:bidi="ar-SA"/>
        </w:rPr>
        <w:t>《吉林省农业综合开发条例》</w:t>
      </w:r>
    </w:p>
    <w:p>
      <w:pPr>
        <w:pStyle w:val="Normal"/>
        <w:widowControl/>
        <w:spacing w:lineRule="exact" w:line="560"/>
        <w:ind w:firstLineChars="200" w:startChars="0" w:start="0" w:endChars="0" w:end="0"/>
        <w:rPr>
          <w:rFonts w:ascii="仿宋" w:hAnsi="仿宋" w:eastAsia="仿宋" w:cs="宋体" w:hint="eastAsia"/>
          <w:b w:val="false"/>
          <w:bCs w:val="false"/>
          <w:sz w:val="32"/>
          <w:szCs w:val="24"/>
          <w:lang w:val="zh-CN"/>
        </w:rPr>
      </w:pPr>
      <w:r>
        <w:rPr>
          <w:rFonts w:ascii="仿宋_GB2312;仿宋" w:hAnsi="仿宋_GB2312;仿宋" w:cs="Arial" w:hint="eastAsia" w:eastAsia="仿宋_GB2312;仿宋"/>
          <w:kern w:val="0"/>
          <w:sz w:val="32"/>
          <w:szCs w:val="32"/>
          <w:lang w:val="zh-CN" w:bidi="ar-SA"/>
        </w:rPr>
        <w:t xml:space="preserve">本决定自公布之日起施行。   </w:t>
      </w:r>
      <w:r>
        <w:rPr>
          <w:rFonts w:ascii="仿宋" w:hAnsi="仿宋" w:cs="宋体" w:hint="eastAsia" w:eastAsia="仿宋"/>
          <w:b w:val="false"/>
          <w:bCs w:val="false"/>
          <w:sz w:val="32"/>
          <w:szCs w:val="24"/>
          <w:lang w:val="zh-CN"/>
        </w:rPr>
        <w:t xml:space="preserve"> </w:t>
      </w:r>
    </w:p>
    <w:p>
      <w:pPr>
        <w:pStyle w:val="Normal"/>
        <w:keepNext w:val="false"/>
        <w:keepLines w:val="false"/>
        <w:pageBreakBefore w:val="false"/>
        <w:overflowPunct w:val="true"/>
        <w:bidi w:val="0"/>
        <w:spacing w:lineRule="auto" w:line="240" w:before="0" w:after="0"/>
        <w:ind w:firstLineChars="200" w:startChars="0" w:start="0" w:endChars="0" w:end="0"/>
        <w:jc w:val="both"/>
        <w:rPr>
          <w:rFonts w:ascii="仿宋" w:hAnsi="仿宋" w:eastAsia="仿宋" w:cs="宋体" w:hint="eastAsia"/>
          <w:b w:val="false"/>
          <w:bCs w:val="false"/>
          <w:sz w:val="32"/>
          <w:szCs w:val="24"/>
          <w:lang w:val="zh-CN"/>
        </w:rPr>
      </w:pPr>
      <w:r>
        <w:rPr>
          <w:rFonts w:eastAsia="仿宋" w:cs="宋体" w:hint="eastAsia" w:ascii="仿宋" w:hAnsi="仿宋"/>
          <w:b w:val="false"/>
          <w:bCs w:val="false"/>
          <w:sz w:val="32"/>
          <w:szCs w:val="24"/>
          <w:lang w:val="zh-CN"/>
        </w:rPr>
      </w:r>
    </w:p>
    <w:p>
      <w:pPr>
        <w:pStyle w:val="Normal"/>
        <w:keepNext w:val="false"/>
        <w:keepLines w:val="false"/>
        <w:pageBreakBefore w:val="false"/>
        <w:overflowPunct w:val="true"/>
        <w:bidi w:val="0"/>
        <w:spacing w:lineRule="auto" w:line="240" w:before="0" w:after="0"/>
        <w:ind w:firstLineChars="200" w:startChars="0" w:start="0" w:endChars="0" w:end="0"/>
        <w:jc w:val="both"/>
        <w:rPr>
          <w:rFonts w:ascii="仿宋" w:hAnsi="仿宋" w:eastAsia="仿宋" w:cs="宋体" w:hint="eastAsia"/>
          <w:b w:val="false"/>
          <w:bCs w:val="false"/>
          <w:sz w:val="36"/>
          <w:szCs w:val="24"/>
          <w:lang w:val="zh-CN"/>
        </w:rPr>
      </w:pPr>
      <w:r>
        <w:rPr>
          <w:rFonts w:eastAsia="仿宋" w:cs="宋体" w:hint="eastAsia" w:ascii="仿宋" w:hAnsi="仿宋"/>
          <w:b w:val="false"/>
          <w:bCs w:val="false"/>
          <w:sz w:val="36"/>
          <w:szCs w:val="24"/>
          <w:lang w:val="zh-CN"/>
        </w:rPr>
      </w:r>
    </w:p>
    <w:p>
      <w:pPr>
        <w:pStyle w:val="Normal"/>
        <w:keepNext w:val="false"/>
        <w:keepLines w:val="false"/>
        <w:pageBreakBefore w:val="false"/>
        <w:overflowPunct w:val="true"/>
        <w:bidi w:val="0"/>
        <w:spacing w:lineRule="auto" w:line="240" w:before="0" w:after="0"/>
        <w:ind w:firstLineChars="200" w:startChars="0" w:start="0" w:endChars="0" w:end="0"/>
        <w:jc w:val="start"/>
        <w:rPr>
          <w:rFonts w:ascii="仿宋" w:hAnsi="仿宋" w:eastAsia="仿宋" w:cs="宋体" w:hint="eastAsia"/>
          <w:b w:val="false"/>
          <w:bCs w:val="false"/>
          <w:sz w:val="36"/>
          <w:szCs w:val="24"/>
          <w:lang w:val="zh-CN"/>
        </w:rPr>
      </w:pPr>
      <w:r>
        <w:rPr>
          <w:rFonts w:eastAsia="仿宋" w:cs="宋体" w:hint="eastAsia" w:ascii="仿宋" w:hAnsi="仿宋"/>
          <w:b w:val="false"/>
          <w:bCs w:val="false"/>
          <w:sz w:val="36"/>
          <w:szCs w:val="24"/>
          <w:lang w:val="zh-CN"/>
        </w:rPr>
      </w:r>
    </w:p>
    <w:sectPr>
      <w:type w:val="nextPage"/>
      <w:pgSz w:w="11906" w:h="16838"/>
      <w:pgMar w:left="1587" w:right="1474" w:gutter="0" w:header="0" w:top="2098" w:footer="0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仿宋_GB2312">
    <w:altName w:val="仿宋"/>
    <w:charset w:val="86"/>
    <w:family w:val="modern"/>
    <w:pitch w:val="default"/>
  </w:font>
  <w:font w:name="黑体">
    <w:charset w:val="86"/>
    <w:family w:val="auto"/>
    <w:pitch w:val="default"/>
  </w:font>
  <w:font w:name="仿宋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1"/>
  </w:compat>
  <w:docVars>
    <w:docVar w:name="commondata" w:val="eyJoZGlkIjoiODM0YzQzMGFjMjUzMGYwODMwZjhmZTEzMTA0N2U0NTc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黑体"/>
      <w:color w:val="auto"/>
      <w:kern w:val="2"/>
      <w:sz w:val="21"/>
      <w:szCs w:val="24"/>
      <w:lang w:val="en-US" w:eastAsia="zh-CN" w:bidi="hi-IN"/>
    </w:rPr>
  </w:style>
  <w:style w:type="character" w:styleId="Style14">
    <w:name w:val="默认段落字体"/>
    <w:qFormat/>
    <w:rPr/>
  </w:style>
  <w:style w:type="character" w:styleId="New">
    <w:name w:val="页码 New"/>
    <w:basedOn w:val="Style14"/>
    <w:qFormat/>
    <w:rPr/>
  </w:style>
  <w:style w:type="character" w:styleId="NewNew">
    <w:name w:val="页码 New New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ew1">
    <w:name w:val="正文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hi-IN"/>
    </w:rPr>
  </w:style>
  <w:style w:type="paragraph" w:styleId="NewNewNewNewNew">
    <w:name w:val="正文 New New New New New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New2">
    <w:name w:val="页脚 New"/>
    <w:basedOn w:val="New1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NewNew1">
    <w:name w:val="正文 New New"/>
    <w:qFormat/>
    <w:pPr>
      <w:widowControl/>
      <w:kinsoku w:val="false"/>
      <w:autoSpaceDE w:val="false"/>
      <w:bidi w:val="0"/>
      <w:snapToGrid w:val="false"/>
      <w:jc w:val="start"/>
      <w:textAlignment w:val="baseline"/>
    </w:pPr>
    <w:rPr>
      <w:rFonts w:ascii="Times New Roman" w:hAnsi="Times New Roman" w:eastAsia="宋体" w:cs="Times New Roman"/>
      <w:color w:val="000000"/>
      <w:kern w:val="0"/>
      <w:sz w:val="21"/>
      <w:szCs w:val="21"/>
      <w:lang w:val="en-US" w:eastAsia="zh-CN" w:bidi="hi-IN"/>
    </w:rPr>
  </w:style>
  <w:style w:type="paragraph" w:styleId="NewNewNewNewNewNew">
    <w:name w:val="正文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hi-IN"/>
    </w:rPr>
  </w:style>
  <w:style w:type="paragraph" w:styleId="New3">
    <w:name w:val="页眉 New"/>
    <w:basedOn w:val="New1"/>
    <w:qFormat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NewNew2">
    <w:name w:val="页脚 New New"/>
    <w:basedOn w:val="NewNewNewNewNewNew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NewNewNewNewNewNewNewNew">
    <w:name w:val="正文 New New New New New New New New"/>
    <w:qFormat/>
    <w:pPr>
      <w:widowControl/>
      <w:kinsoku w:val="false"/>
      <w:autoSpaceDE w:val="false"/>
      <w:bidi w:val="0"/>
      <w:snapToGrid w:val="false"/>
      <w:jc w:val="start"/>
      <w:textAlignment w:val="baseline"/>
    </w:pPr>
    <w:rPr>
      <w:rFonts w:ascii="Times New Roman" w:hAnsi="Times New Roman" w:eastAsia="宋体" w:cs="Times New Roman"/>
      <w:color w:val="000000"/>
      <w:kern w:val="0"/>
      <w:sz w:val="21"/>
      <w:szCs w:val="21"/>
      <w:lang w:val="en-US" w:eastAsia="zh-CN" w:bidi="hi-IN"/>
    </w:rPr>
  </w:style>
  <w:style w:type="paragraph" w:styleId="NewNewNewNew">
    <w:name w:val="正文 New New New New"/>
    <w:qFormat/>
    <w:pPr>
      <w:widowControl/>
      <w:kinsoku w:val="false"/>
      <w:autoSpaceDE w:val="false"/>
      <w:bidi w:val="0"/>
      <w:snapToGrid w:val="false"/>
      <w:jc w:val="start"/>
      <w:textAlignment w:val="baseline"/>
    </w:pPr>
    <w:rPr>
      <w:rFonts w:ascii="Times New Roman" w:hAnsi="Times New Roman" w:eastAsia="宋体" w:cs="Times New Roman"/>
      <w:color w:val="000000"/>
      <w:kern w:val="0"/>
      <w:sz w:val="21"/>
      <w:szCs w:val="21"/>
      <w:lang w:val="en-US" w:eastAsia="zh-CN" w:bidi="hi-IN"/>
    </w:rPr>
  </w:style>
  <w:style w:type="paragraph" w:styleId="NewNew3">
    <w:name w:val="页眉 New New"/>
    <w:basedOn w:val="NewNewNewNewNewNew"/>
    <w:qFormat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NewNewNew">
    <w:name w:val="正文 New New New"/>
    <w:qFormat/>
    <w:pPr>
      <w:widowControl/>
      <w:kinsoku w:val="false"/>
      <w:autoSpaceDE w:val="false"/>
      <w:bidi w:val="0"/>
      <w:snapToGrid w:val="false"/>
      <w:jc w:val="start"/>
      <w:textAlignment w:val="baseline"/>
    </w:pPr>
    <w:rPr>
      <w:rFonts w:ascii="Times New Roman" w:hAnsi="Times New Roman" w:eastAsia="宋体" w:cs="Times New Roman"/>
      <w:color w:val="000000"/>
      <w:kern w:val="0"/>
      <w:sz w:val="21"/>
      <w:szCs w:val="21"/>
      <w:lang w:val="en-US" w:eastAsia="zh-CN" w:bidi="hi-IN"/>
    </w:rPr>
  </w:style>
  <w:style w:type="paragraph" w:styleId="NewNewNewNewNewNewNew">
    <w:name w:val="正文 New New New New New New New"/>
    <w:qFormat/>
    <w:pPr>
      <w:widowControl/>
      <w:kinsoku w:val="false"/>
      <w:autoSpaceDE w:val="false"/>
      <w:bidi w:val="0"/>
      <w:snapToGrid w:val="false"/>
      <w:jc w:val="start"/>
      <w:textAlignment w:val="baseline"/>
    </w:pPr>
    <w:rPr>
      <w:rFonts w:ascii="Times New Roman" w:hAnsi="Times New Roman" w:eastAsia="宋体" w:cs="Times New Roman"/>
      <w:color w:val="000000"/>
      <w:kern w:val="0"/>
      <w:sz w:val="21"/>
      <w:szCs w:val="21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2021-05-22T17:11:00Z</dcterms:created>
  <dc:creator>云飞扬</dc:creator>
  <dc:description/>
  <dc:language>en-US</dc:language>
  <cp:lastModifiedBy>佳佳</cp:lastModifiedBy>
  <cp:lastPrinted>2022-09-28T01:25:00Z</cp:lastPrinted>
  <dcterms:modified xsi:type="dcterms:W3CDTF">2022-12-08T09:58:17Z</dcterms:modified>
  <cp:revision>1</cp:revision>
  <dc:subject/>
  <dc:title>云飞扬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5B32C44B5A214C258B5660E1C94DD707</vt:lpwstr>
  </property>
  <property fmtid="{D5CDD505-2E9C-101B-9397-08002B2CF9AE}" pid="3" name="KSOProductBuildVer">
    <vt:lpwstr>2052-11.1.0.12763</vt:lpwstr>
  </property>
</Properties>
</file>