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document.xml" ContentType="application/vnd.openxmlformats-officedocument.wordprocessingml.document.main+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宋体;SimSun" w:hAnsi="宋体;SimSun" w:eastAsia="宋体;SimSun" w:cs="宋体;SimSun" w:hint="eastAsia"/>
        </w:rPr>
      </w:pPr>
      <w:r>
        <w:rPr>
          <w:rFonts w:eastAsia="宋体;SimSun" w:cs="宋体;SimSun" w:hint="eastAsia" w:ascii="宋体;SimSun" w:hAnsi="宋体;SimSun"/>
        </w:rPr>
      </w:r>
    </w:p>
    <w:p>
      <w:pPr>
        <w:pStyle w:val="Normal"/>
        <w:jc w:val="center"/>
        <w:rPr>
          <w:rFonts w:ascii="宋体;SimSun" w:hAnsi="宋体;SimSun" w:eastAsia="宋体;SimSun" w:cs="宋体;SimSun" w:hint="eastAsia"/>
        </w:rPr>
      </w:pPr>
      <w:r>
        <w:rPr>
          <w:rFonts w:eastAsia="宋体;SimSun" w:cs="宋体;SimSun" w:hint="eastAsia" w:ascii="宋体;SimSun" w:hAnsi="宋体;SimSun"/>
        </w:rPr>
      </w:r>
    </w:p>
    <w:p>
      <w:pPr>
        <w:pStyle w:val="Normal"/>
        <w:jc w:val="center"/>
        <w:rPr>
          <w:rFonts w:ascii="宋体;SimSun" w:hAnsi="宋体;SimSun" w:eastAsia="宋体;SimSun" w:cs="宋体;SimSun" w:hint="eastAsia"/>
          <w:sz w:val="44"/>
          <w:szCs w:val="44"/>
        </w:rPr>
      </w:pPr>
      <w:r>
        <w:rPr>
          <w:rFonts w:ascii="宋体;SimSun" w:hAnsi="宋体;SimSun" w:cs="宋体;SimSun" w:hint="eastAsia" w:eastAsia="宋体;SimSun"/>
          <w:sz w:val="44"/>
          <w:szCs w:val="44"/>
        </w:rPr>
        <w:t>吉林市知名商标认定和保护条例</w:t>
      </w:r>
    </w:p>
    <w:p>
      <w:pPr>
        <w:pStyle w:val="Normal"/>
        <w:snapToGrid w:val="false"/>
        <w:spacing w:lineRule="atLeast" w:line="568"/>
        <w:ind w:firstLineChars="200" w:startChars="0" w:start="0" w:endChars="0" w:end="0"/>
        <w:jc w:val="center"/>
        <w:rPr>
          <w:rFonts w:ascii="宋体;SimSun" w:hAnsi="宋体;SimSun" w:eastAsia="宋体;SimSun" w:cs="宋体;SimSun" w:hint="eastAsia"/>
          <w:sz w:val="44"/>
          <w:szCs w:val="44"/>
        </w:rPr>
      </w:pPr>
      <w:r>
        <w:rPr>
          <w:rFonts w:eastAsia="宋体;SimSun" w:cs="宋体;SimSun" w:hint="eastAsia" w:ascii="宋体;SimSun" w:hAnsi="宋体;SimSun"/>
          <w:sz w:val="44"/>
          <w:szCs w:val="44"/>
        </w:rPr>
      </w:r>
    </w:p>
    <w:p>
      <w:pPr>
        <w:pStyle w:val="Normal"/>
        <w:snapToGrid w:val="false"/>
        <w:spacing w:lineRule="atLeast" w:line="568"/>
        <w:ind w:firstLineChars="0" w:firstLine="0" w:startChars="131" w:endChars="196"/>
        <w:rPr/>
      </w:pPr>
      <w:r>
        <w:rPr>
          <w:rFonts w:ascii="楷体_GB2312" w:hAnsi="楷体_GB2312" w:hint="eastAsia" w:eastAsia="楷体_GB2312"/>
        </w:rPr>
        <w:t>（</w:t>
      </w:r>
      <w:r>
        <w:rPr>
          <w:rFonts w:eastAsia="楷体_GB2312" w:hint="eastAsia" w:ascii="楷体_GB2312" w:hAnsi="楷体_GB2312"/>
        </w:rPr>
        <w:t>2004</w:t>
      </w:r>
      <w:r>
        <w:rPr>
          <w:rFonts w:ascii="楷体_GB2312" w:hAnsi="楷体_GB2312" w:hint="eastAsia" w:eastAsia="楷体_GB2312"/>
        </w:rPr>
        <w:t>年</w:t>
      </w:r>
      <w:r>
        <w:rPr>
          <w:rFonts w:eastAsia="楷体_GB2312" w:hint="eastAsia" w:ascii="楷体_GB2312" w:hAnsi="楷体_GB2312"/>
        </w:rPr>
        <w:t>7</w:t>
      </w:r>
      <w:r>
        <w:rPr>
          <w:rFonts w:ascii="楷体_GB2312" w:hAnsi="楷体_GB2312" w:hint="eastAsia" w:eastAsia="楷体_GB2312"/>
        </w:rPr>
        <w:t>月</w:t>
      </w:r>
      <w:r>
        <w:rPr>
          <w:rFonts w:eastAsia="楷体_GB2312" w:hint="eastAsia" w:ascii="楷体_GB2312" w:hAnsi="楷体_GB2312"/>
        </w:rPr>
        <w:t>22</w:t>
      </w:r>
      <w:r>
        <w:rPr>
          <w:rFonts w:ascii="楷体_GB2312" w:hAnsi="楷体_GB2312" w:hint="eastAsia" w:eastAsia="楷体_GB2312"/>
        </w:rPr>
        <w:t>日吉林市第十三届人民代表会常务委员会第十四次会议通过，</w:t>
      </w:r>
      <w:r>
        <w:rPr>
          <w:rFonts w:eastAsia="楷体_GB2312" w:hint="eastAsia" w:ascii="楷体_GB2312" w:hAnsi="楷体_GB2312"/>
        </w:rPr>
        <w:t>2004</w:t>
      </w:r>
      <w:r>
        <w:rPr>
          <w:rFonts w:ascii="楷体_GB2312" w:hAnsi="楷体_GB2312" w:hint="eastAsia" w:eastAsia="楷体_GB2312"/>
        </w:rPr>
        <w:t>年</w:t>
      </w:r>
      <w:r>
        <w:rPr>
          <w:rFonts w:eastAsia="楷体_GB2312" w:hint="eastAsia" w:ascii="楷体_GB2312" w:hAnsi="楷体_GB2312"/>
        </w:rPr>
        <w:t>9</w:t>
      </w:r>
      <w:r>
        <w:rPr>
          <w:rFonts w:ascii="楷体_GB2312" w:hAnsi="楷体_GB2312" w:hint="eastAsia" w:eastAsia="楷体_GB2312"/>
        </w:rPr>
        <w:t>月</w:t>
      </w:r>
      <w:r>
        <w:rPr>
          <w:rFonts w:eastAsia="楷体_GB2312" w:hint="eastAsia" w:ascii="楷体_GB2312" w:hAnsi="楷体_GB2312"/>
        </w:rPr>
        <w:t>25</w:t>
      </w:r>
      <w:r>
        <w:rPr>
          <w:rFonts w:ascii="楷体_GB2312" w:hAnsi="楷体_GB2312" w:hint="eastAsia" w:eastAsia="楷体_GB2312"/>
        </w:rPr>
        <w:t>日吉林省第十届人民代表大会常务委员会第十三次会议通过）</w:t>
      </w:r>
    </w:p>
    <w:p>
      <w:pPr>
        <w:pStyle w:val="Normal"/>
        <w:snapToGrid w:val="false"/>
        <w:spacing w:lineRule="atLeast" w:line="568"/>
        <w:ind w:firstLineChars="0" w:firstLine="0" w:startChars="225" w:endChars="0" w:end="0"/>
        <w:rPr>
          <w:rFonts w:ascii="楷体_GB2312" w:hAnsi="楷体_GB2312" w:eastAsia="楷体_GB2312" w:hint="eastAsia"/>
        </w:rPr>
      </w:pPr>
      <w:r>
        <w:rPr>
          <w:rFonts w:eastAsia="楷体_GB2312" w:hint="eastAsia" w:ascii="楷体_GB2312" w:hAnsi="楷体_GB2312"/>
        </w:rPr>
      </w:r>
    </w:p>
    <w:p>
      <w:pPr>
        <w:pStyle w:val="Normal"/>
        <w:snapToGrid w:val="false"/>
        <w:spacing w:lineRule="atLeast" w:line="568"/>
        <w:ind w:firstLineChars="200" w:startChars="0" w:start="0" w:endChars="0" w:end="0"/>
        <w:rPr/>
      </w:pPr>
      <w:r>
        <w:rPr>
          <w:rFonts w:ascii="黑体;SimHei" w:hAnsi="黑体;SimHei" w:cs="黑体;SimHei" w:hint="eastAsia" w:eastAsia="黑体;SimHei"/>
        </w:rPr>
        <w:t>第一条</w:t>
      </w:r>
      <w:r>
        <w:rPr>
          <w:rFonts w:hint="eastAsia"/>
        </w:rPr>
        <w:t xml:space="preserve">  为了规范知名商标的认定和管理，保护吉林市知名商标所有人的合法权益，促进经济发展，根据有关法律、法规，结合本市实际，制定本条例。</w:t>
      </w:r>
    </w:p>
    <w:p>
      <w:pPr>
        <w:pStyle w:val="Normal"/>
        <w:snapToGrid w:val="false"/>
        <w:spacing w:lineRule="atLeast" w:line="568"/>
        <w:ind w:firstLineChars="200" w:startChars="0" w:start="0" w:endChars="0" w:end="0"/>
        <w:rPr/>
      </w:pPr>
      <w:r>
        <w:rPr>
          <w:rFonts w:ascii="黑体;SimHei" w:hAnsi="黑体;SimHei" w:cs="黑体;SimHei" w:hint="eastAsia" w:eastAsia="黑体;SimHei"/>
        </w:rPr>
        <w:t>第二条</w:t>
      </w:r>
      <w:r>
        <w:rPr>
          <w:rFonts w:hint="eastAsia"/>
        </w:rPr>
        <w:t xml:space="preserve">  本市行政区域内知名商标的认定和保护适用本条例。</w:t>
      </w:r>
    </w:p>
    <w:p>
      <w:pPr>
        <w:pStyle w:val="Normal"/>
        <w:snapToGrid w:val="false"/>
        <w:spacing w:lineRule="atLeast" w:line="568"/>
        <w:ind w:firstLineChars="200" w:startChars="0" w:start="0" w:endChars="0" w:end="0"/>
        <w:rPr/>
      </w:pPr>
      <w:r>
        <w:rPr>
          <w:rFonts w:ascii="黑体;SimHei" w:hAnsi="黑体;SimHei" w:cs="黑体;SimHei" w:hint="eastAsia" w:eastAsia="黑体;SimHei"/>
        </w:rPr>
        <w:t xml:space="preserve">第三条 </w:t>
      </w:r>
      <w:r>
        <w:rPr>
          <w:rFonts w:hint="eastAsia"/>
        </w:rPr>
        <w:t xml:space="preserve"> 本条例所称知名商标，是指为相关公众广为知晓并享有较高声誉，经市工商行政管理部门依照本条例认定的注册商标。</w:t>
      </w:r>
    </w:p>
    <w:p>
      <w:pPr>
        <w:pStyle w:val="Normal"/>
        <w:snapToGrid w:val="false"/>
        <w:spacing w:lineRule="atLeast" w:line="568"/>
        <w:ind w:firstLineChars="200" w:startChars="0" w:start="0" w:endChars="0" w:end="0"/>
        <w:rPr>
          <w:rFonts w:hint="eastAsia"/>
        </w:rPr>
      </w:pPr>
      <w:r>
        <w:rPr>
          <w:rFonts w:hint="eastAsia"/>
        </w:rPr>
        <w:t>相关公众包括与使用商标所标示的某类商品或者服务有关的消费者，生产前述商品或者提供服务的其他经营者以及经销渠道中所涉及的销售者和相关人员等。</w:t>
      </w:r>
    </w:p>
    <w:p>
      <w:pPr>
        <w:pStyle w:val="Normal"/>
        <w:snapToGrid w:val="false"/>
        <w:spacing w:lineRule="atLeast" w:line="568"/>
        <w:ind w:firstLineChars="200" w:startChars="0" w:start="0" w:endChars="0" w:end="0"/>
        <w:rPr/>
      </w:pPr>
      <w:r>
        <w:rPr>
          <w:rFonts w:ascii="黑体;SimHei" w:hAnsi="黑体;SimHei" w:cs="黑体;SimHei" w:hint="eastAsia" w:eastAsia="黑体;SimHei"/>
        </w:rPr>
        <w:t>第四条</w:t>
      </w:r>
      <w:r>
        <w:rPr>
          <w:rFonts w:hint="eastAsia"/>
        </w:rPr>
        <w:t xml:space="preserve">  市工商行政管理部门是市商标工作的行政主管机关，负责知名商标认定、保护和监督管理工作。</w:t>
      </w:r>
    </w:p>
    <w:p>
      <w:pPr>
        <w:pStyle w:val="Normal"/>
        <w:snapToGrid w:val="false"/>
        <w:spacing w:lineRule="atLeast" w:line="568"/>
        <w:ind w:firstLineChars="200" w:startChars="0" w:start="0" w:endChars="0" w:end="0"/>
        <w:rPr/>
      </w:pPr>
      <w:r>
        <w:rPr>
          <w:rFonts w:ascii="黑体;SimHei" w:hAnsi="黑体;SimHei" w:cs="黑体;SimHei" w:hint="eastAsia" w:eastAsia="黑体;SimHei"/>
        </w:rPr>
        <w:t>第五条</w:t>
      </w:r>
      <w:r>
        <w:rPr>
          <w:rFonts w:hint="eastAsia"/>
        </w:rPr>
        <w:t xml:space="preserve">  知名商标的认定实行自愿、公开、公平、公正的原则。</w:t>
      </w:r>
    </w:p>
    <w:p>
      <w:pPr>
        <w:pStyle w:val="Normal"/>
        <w:snapToGrid w:val="false"/>
        <w:spacing w:lineRule="atLeast" w:line="568"/>
        <w:ind w:firstLineChars="200" w:startChars="0" w:start="0" w:endChars="0" w:end="0"/>
        <w:rPr/>
      </w:pPr>
      <w:r>
        <w:rPr>
          <w:rFonts w:ascii="黑体;SimHei" w:hAnsi="黑体;SimHei" w:cs="黑体;SimHei" w:hint="eastAsia" w:eastAsia="黑体;SimHei"/>
        </w:rPr>
        <w:t>第六条</w:t>
      </w:r>
      <w:r>
        <w:rPr>
          <w:rFonts w:hint="eastAsia"/>
        </w:rPr>
        <w:t xml:space="preserve">  各级人民政府应当鼓励自然人、法人和其他组织提高商品质量，维护商标信誉，争创知名商标。</w:t>
      </w:r>
    </w:p>
    <w:p>
      <w:pPr>
        <w:pStyle w:val="Normal"/>
        <w:snapToGrid w:val="false"/>
        <w:spacing w:lineRule="atLeast" w:line="568"/>
        <w:ind w:firstLineChars="200" w:startChars="0" w:start="0" w:endChars="0" w:end="0"/>
        <w:rPr>
          <w:rFonts w:hint="eastAsia"/>
        </w:rPr>
      </w:pPr>
      <w:r>
        <w:rPr>
          <w:rFonts w:hint="eastAsia"/>
        </w:rPr>
        <w:t>从吉林市知名商标中优先推荐“吉林省著名商标”。</w:t>
      </w:r>
    </w:p>
    <w:p>
      <w:pPr>
        <w:pStyle w:val="Normal"/>
        <w:snapToGrid w:val="false"/>
        <w:spacing w:lineRule="atLeast" w:line="568"/>
        <w:ind w:firstLineChars="200" w:startChars="0" w:start="0" w:endChars="0" w:end="0"/>
        <w:rPr>
          <w:rFonts w:hint="eastAsia"/>
        </w:rPr>
      </w:pPr>
      <w:r>
        <w:rPr>
          <w:rFonts w:hint="eastAsia"/>
        </w:rPr>
        <w:t>对获得吉林市知名商标、吉林省著名商标和中国驰名商标的，由市人民政府给予表彰。</w:t>
      </w:r>
    </w:p>
    <w:p>
      <w:pPr>
        <w:pStyle w:val="Normal"/>
        <w:snapToGrid w:val="false"/>
        <w:spacing w:lineRule="atLeast" w:line="568"/>
        <w:ind w:firstLineChars="192" w:startChars="0" w:start="0" w:endChars="0" w:end="0"/>
        <w:rPr/>
      </w:pPr>
      <w:r>
        <w:rPr>
          <w:rFonts w:ascii="黑体;SimHei" w:hAnsi="黑体;SimHei" w:cs="黑体;SimHei" w:hint="eastAsia" w:eastAsia="黑体;SimHei"/>
        </w:rPr>
        <w:t>第七条</w:t>
      </w:r>
      <w:r>
        <w:rPr>
          <w:rFonts w:hint="eastAsia"/>
        </w:rPr>
        <w:t xml:space="preserve">  市工商行政管理部门组织设立市知名商标评审委员会，负责知名商标的评审工作。</w:t>
      </w:r>
    </w:p>
    <w:p>
      <w:pPr>
        <w:pStyle w:val="Normal"/>
        <w:snapToGrid w:val="false"/>
        <w:spacing w:lineRule="atLeast" w:line="568"/>
        <w:ind w:firstLineChars="200" w:startChars="0" w:start="0" w:endChars="0" w:end="0"/>
        <w:rPr>
          <w:rFonts w:hint="eastAsia"/>
        </w:rPr>
      </w:pPr>
      <w:r>
        <w:rPr>
          <w:rFonts w:hint="eastAsia"/>
        </w:rPr>
        <w:t>市知名商标评审委员会由不少于</w:t>
      </w:r>
      <w:r>
        <w:rPr>
          <w:rFonts w:hint="eastAsia"/>
        </w:rPr>
        <w:t>30</w:t>
      </w:r>
      <w:r>
        <w:rPr>
          <w:rFonts w:hint="eastAsia"/>
        </w:rPr>
        <w:t>人的法律、经济、科技及相关行业的专家组成，并报市人民政府备案。</w:t>
      </w:r>
    </w:p>
    <w:p>
      <w:pPr>
        <w:pStyle w:val="Normal"/>
        <w:snapToGrid w:val="false"/>
        <w:spacing w:lineRule="atLeast" w:line="568"/>
        <w:ind w:firstLineChars="200" w:startChars="0" w:start="0" w:endChars="0" w:end="0"/>
        <w:rPr/>
      </w:pPr>
      <w:r>
        <w:rPr>
          <w:rFonts w:ascii="黑体;SimHei" w:hAnsi="黑体;SimHei" w:cs="黑体;SimHei" w:hint="eastAsia" w:eastAsia="黑体;SimHei"/>
        </w:rPr>
        <w:t>第八条</w:t>
      </w:r>
      <w:r>
        <w:rPr>
          <w:rFonts w:hint="eastAsia"/>
        </w:rPr>
        <w:t xml:space="preserve">  申请认定知名商标应当符合下列条件：</w:t>
      </w:r>
    </w:p>
    <w:p>
      <w:pPr>
        <w:pStyle w:val="Normal"/>
        <w:snapToGrid w:val="false"/>
        <w:spacing w:lineRule="atLeast" w:line="568"/>
        <w:ind w:firstLineChars="200" w:startChars="0" w:start="0" w:endChars="0" w:end="0"/>
        <w:rPr>
          <w:rFonts w:hint="eastAsia"/>
        </w:rPr>
      </w:pPr>
      <w:r>
        <w:rPr>
          <w:rFonts w:hint="eastAsia"/>
        </w:rPr>
        <w:t xml:space="preserve">（一）申请人为注册商标所有人或者经注册商标所有人许可使用并授权申请的自然人、法人或者其他组织； </w:t>
      </w:r>
    </w:p>
    <w:p>
      <w:pPr>
        <w:pStyle w:val="Normal"/>
        <w:snapToGrid w:val="false"/>
        <w:spacing w:lineRule="atLeast" w:line="568"/>
        <w:ind w:firstLineChars="200" w:startChars="0" w:start="0" w:endChars="0" w:end="0"/>
        <w:rPr>
          <w:rFonts w:hint="eastAsia"/>
        </w:rPr>
      </w:pPr>
      <w:r>
        <w:rPr>
          <w:rFonts w:hint="eastAsia"/>
        </w:rPr>
        <w:t>（二）商标所标示的商品</w:t>
      </w:r>
      <w:r>
        <w:rPr>
          <w:rFonts w:hint="eastAsia"/>
        </w:rPr>
        <w:t>(</w:t>
      </w:r>
      <w:r>
        <w:rPr>
          <w:rFonts w:hint="eastAsia"/>
        </w:rPr>
        <w:t>本条例所称商品含服务</w:t>
      </w:r>
      <w:r>
        <w:rPr>
          <w:rFonts w:hint="eastAsia"/>
        </w:rPr>
        <w:t>,</w:t>
      </w:r>
      <w:r>
        <w:rPr>
          <w:rFonts w:hint="eastAsia"/>
        </w:rPr>
        <w:t>下同</w:t>
      </w:r>
      <w:r>
        <w:rPr>
          <w:rFonts w:hint="eastAsia"/>
        </w:rPr>
        <w:t>)</w:t>
      </w:r>
      <w:r>
        <w:rPr>
          <w:rFonts w:hint="eastAsia"/>
        </w:rPr>
        <w:t>符合国家法律法规规定，在本市同类同档商品中质量和售后服务优良、稳定；</w:t>
      </w:r>
    </w:p>
    <w:p>
      <w:pPr>
        <w:pStyle w:val="BodyTextIndent"/>
        <w:snapToGrid w:val="false"/>
        <w:spacing w:lineRule="atLeast" w:line="568"/>
        <w:ind w:firstLine="643" w:end="0"/>
        <w:rPr>
          <w:rFonts w:ascii="仿宋_GB2312" w:hAnsi="仿宋_GB2312" w:eastAsia="仿宋_GB2312" w:hint="eastAsia"/>
          <w:u w:val="none"/>
        </w:rPr>
      </w:pPr>
      <w:r>
        <w:rPr>
          <w:rFonts w:ascii="仿宋_GB2312" w:hAnsi="仿宋_GB2312" w:hint="eastAsia" w:eastAsia="仿宋_GB2312"/>
          <w:u w:val="none"/>
        </w:rPr>
        <w:t>（三）商标所标示的商品近两年的产量、销售量、销售收入等具有一定规模，利税、市场占有率等主要经济指标在本市同行业中领先；</w:t>
      </w:r>
    </w:p>
    <w:p>
      <w:pPr>
        <w:pStyle w:val="BodyTextIndent"/>
        <w:snapToGrid w:val="false"/>
        <w:spacing w:lineRule="atLeast" w:line="568"/>
        <w:ind w:firstLine="643" w:end="0"/>
        <w:rPr>
          <w:rFonts w:ascii="仿宋_GB2312" w:hAnsi="仿宋_GB2312" w:eastAsia="仿宋_GB2312" w:hint="eastAsia"/>
          <w:u w:val="none"/>
        </w:rPr>
      </w:pPr>
      <w:r>
        <w:rPr>
          <w:rFonts w:ascii="仿宋_GB2312" w:hAnsi="仿宋_GB2312" w:hint="eastAsia" w:eastAsia="仿宋_GB2312"/>
          <w:u w:val="none"/>
        </w:rPr>
        <w:t>（四）该商标在本市或域内外市场上具有较高信誉，并为相关公众所熟知；</w:t>
      </w:r>
    </w:p>
    <w:p>
      <w:pPr>
        <w:pStyle w:val="Normal"/>
        <w:snapToGrid w:val="false"/>
        <w:spacing w:lineRule="atLeast" w:line="568"/>
        <w:ind w:firstLineChars="200" w:startChars="0" w:start="0" w:endChars="0" w:end="0"/>
        <w:rPr>
          <w:rFonts w:hint="eastAsia"/>
        </w:rPr>
      </w:pPr>
      <w:r>
        <w:rPr>
          <w:rFonts w:hint="eastAsia"/>
        </w:rPr>
        <w:t>（五）商标所有人、使用人注重对商标的使用、管理和保护，各项管理制度健全。</w:t>
      </w:r>
    </w:p>
    <w:p>
      <w:pPr>
        <w:pStyle w:val="Normal"/>
        <w:snapToGrid w:val="false"/>
        <w:spacing w:lineRule="atLeast" w:line="568"/>
        <w:ind w:firstLineChars="200" w:startChars="0" w:start="0" w:endChars="0" w:end="0"/>
        <w:rPr/>
      </w:pPr>
      <w:r>
        <w:rPr>
          <w:rFonts w:ascii="黑体;SimHei" w:hAnsi="黑体;SimHei" w:cs="黑体;SimHei" w:hint="eastAsia" w:eastAsia="黑体;SimHei"/>
        </w:rPr>
        <w:t>第九条</w:t>
      </w:r>
      <w:r>
        <w:rPr>
          <w:rFonts w:hint="eastAsia"/>
        </w:rPr>
        <w:t xml:space="preserve">  知名商标的申请和认定按以下程序进行：</w:t>
      </w:r>
    </w:p>
    <w:p>
      <w:pPr>
        <w:pStyle w:val="Normal"/>
        <w:snapToGrid w:val="false"/>
        <w:spacing w:lineRule="atLeast" w:line="568"/>
        <w:ind w:firstLineChars="200" w:startChars="0" w:start="0" w:endChars="0" w:end="0"/>
        <w:rPr>
          <w:rFonts w:hint="eastAsia"/>
        </w:rPr>
      </w:pPr>
      <w:r>
        <w:rPr>
          <w:rFonts w:hint="eastAsia"/>
        </w:rPr>
        <w:t>（一）申请人向所在地的县（市）、区工商行政管理部门提出申请，填写《吉林市知名商标认定申请表》，按照本条例第八条规定的条件提供有关证明材料。证明材料必须真实可靠，并标明出处。</w:t>
      </w:r>
    </w:p>
    <w:p>
      <w:pPr>
        <w:pStyle w:val="Normal"/>
        <w:snapToGrid w:val="false"/>
        <w:spacing w:lineRule="atLeast" w:line="568"/>
        <w:ind w:firstLineChars="200" w:startChars="0" w:start="0" w:endChars="0" w:end="0"/>
        <w:rPr>
          <w:rFonts w:hint="eastAsia"/>
        </w:rPr>
      </w:pPr>
      <w:r>
        <w:rPr>
          <w:rFonts w:hint="eastAsia"/>
        </w:rPr>
        <w:t>（二）县（市）、区工商行政管理部门根据申请人提交的材料进行初审，认为符合条件的向市工商行政管理部门推荐；认为不符合条件的，书面通知申请人，并说明理由。申请人对县（市）、区工商行政管理部门不予推荐有异议的，可以直接向市工商行政管理部门提出认定申请。</w:t>
      </w:r>
    </w:p>
    <w:p>
      <w:pPr>
        <w:pStyle w:val="Normal"/>
        <w:snapToGrid w:val="false"/>
        <w:spacing w:lineRule="atLeast" w:line="568"/>
        <w:ind w:firstLineChars="200" w:startChars="0" w:start="0" w:endChars="0" w:end="0"/>
        <w:rPr>
          <w:rFonts w:hint="eastAsia"/>
          <w:bdr w:val="single" w:sz="4" w:space="0" w:color="000000"/>
        </w:rPr>
      </w:pPr>
      <w:r>
        <w:rPr>
          <w:rFonts w:hint="eastAsia"/>
        </w:rPr>
        <w:t>（三）市工商行政管理部门对相关材料进行书面审查和实地考察，并组织相关公众进行评价，形成审核意见。</w:t>
      </w:r>
    </w:p>
    <w:p>
      <w:pPr>
        <w:pStyle w:val="Normal"/>
        <w:snapToGrid w:val="false"/>
        <w:spacing w:lineRule="atLeast" w:line="568"/>
        <w:ind w:firstLineChars="200" w:startChars="0" w:start="0" w:endChars="0" w:end="0"/>
        <w:rPr>
          <w:rFonts w:hint="eastAsia"/>
        </w:rPr>
      </w:pPr>
      <w:r>
        <w:rPr>
          <w:rFonts w:hint="eastAsia"/>
        </w:rPr>
        <w:t>（四）市工商行政管理部门在市知名商标评审委员会成员中确定不少于</w:t>
      </w:r>
      <w:r>
        <w:rPr>
          <w:rFonts w:hint="eastAsia"/>
        </w:rPr>
        <w:t>15</w:t>
      </w:r>
      <w:r>
        <w:rPr>
          <w:rFonts w:hint="eastAsia"/>
        </w:rPr>
        <w:t>人组成知名商标评审组。知名商标评审组根据申请人提交的材料和市工商行政管理部门的审核意见对申请认定的商标进行评审，以无记名投票方式表决，获知名商标评审组全体成员三分之二以上多数通过，形成评审意见。</w:t>
      </w:r>
    </w:p>
    <w:p>
      <w:pPr>
        <w:pStyle w:val="Normal"/>
        <w:snapToGrid w:val="false"/>
        <w:spacing w:lineRule="atLeast" w:line="568"/>
        <w:ind w:firstLineChars="200" w:startChars="0" w:start="0" w:endChars="0" w:end="0"/>
        <w:rPr>
          <w:rFonts w:hint="eastAsia"/>
        </w:rPr>
      </w:pPr>
      <w:r>
        <w:rPr>
          <w:rFonts w:hint="eastAsia"/>
        </w:rPr>
        <w:t>（五）市工商行政管理部门根据知名商标评审组的评审意见对知名商标进行认定。被认定为知名商标的，由市工商行政管理部门发给《吉林市知名商标证书》和牌匾，并公告；未予认定的，由市工商行政管理部门书面通知推荐单位及申请人，并说明理由。</w:t>
      </w:r>
    </w:p>
    <w:p>
      <w:pPr>
        <w:pStyle w:val="Normal"/>
        <w:snapToGrid w:val="false"/>
        <w:spacing w:lineRule="atLeast" w:line="568"/>
        <w:ind w:firstLineChars="200" w:startChars="0" w:start="0" w:endChars="0" w:end="0"/>
        <w:rPr>
          <w:rFonts w:hint="eastAsia"/>
        </w:rPr>
      </w:pPr>
      <w:r>
        <w:rPr>
          <w:rFonts w:hint="eastAsia"/>
        </w:rPr>
        <w:t>知名商标的评审、认定工作每年至少组织两次。</w:t>
      </w:r>
    </w:p>
    <w:p>
      <w:pPr>
        <w:pStyle w:val="Normal"/>
        <w:snapToGrid w:val="false"/>
        <w:spacing w:lineRule="atLeast" w:line="568"/>
        <w:ind w:firstLineChars="200" w:startChars="0" w:start="0" w:endChars="0" w:end="0"/>
        <w:rPr>
          <w:rFonts w:hint="eastAsia"/>
        </w:rPr>
      </w:pPr>
      <w:r>
        <w:rPr>
          <w:rFonts w:ascii="黑体;SimHei" w:hAnsi="黑体;SimHei" w:cs="黑体;SimHei" w:hint="eastAsia" w:eastAsia="黑体;SimHei"/>
        </w:rPr>
        <w:t>第十条</w:t>
      </w:r>
      <w:r>
        <w:rPr>
          <w:rFonts w:hint="eastAsia"/>
          <w:bCs/>
          <w:color w:val="000000"/>
          <w:kern w:val="0"/>
        </w:rPr>
        <w:t xml:space="preserve">  知名商标的价值由具备相应资质的资产评估中介组织评估认定。</w:t>
      </w:r>
    </w:p>
    <w:p>
      <w:pPr>
        <w:pStyle w:val="Normal"/>
        <w:snapToGrid w:val="false"/>
        <w:spacing w:lineRule="atLeast" w:line="568"/>
        <w:ind w:firstLineChars="200" w:startChars="0" w:start="0" w:endChars="0" w:end="0"/>
        <w:rPr/>
      </w:pPr>
      <w:r>
        <w:rPr>
          <w:rFonts w:ascii="黑体;SimHei" w:hAnsi="黑体;SimHei" w:cs="黑体;SimHei" w:hint="eastAsia" w:eastAsia="黑体;SimHei"/>
        </w:rPr>
        <w:t xml:space="preserve">第十一条 </w:t>
      </w:r>
      <w:r>
        <w:rPr>
          <w:rFonts w:hint="eastAsia"/>
        </w:rPr>
        <w:t xml:space="preserve"> 知名商标有效期为</w:t>
      </w:r>
      <w:r>
        <w:rPr>
          <w:rFonts w:hint="eastAsia"/>
        </w:rPr>
        <w:t>3</w:t>
      </w:r>
      <w:r>
        <w:rPr>
          <w:rFonts w:hint="eastAsia"/>
        </w:rPr>
        <w:t>年。有效期满需保持知名商标称号的，应提前</w:t>
      </w:r>
      <w:r>
        <w:rPr>
          <w:rFonts w:hint="eastAsia"/>
        </w:rPr>
        <w:t>3</w:t>
      </w:r>
      <w:r>
        <w:rPr>
          <w:rFonts w:hint="eastAsia"/>
        </w:rPr>
        <w:t>个月重新申请认定。</w:t>
      </w:r>
    </w:p>
    <w:p>
      <w:pPr>
        <w:pStyle w:val="Normal"/>
        <w:snapToGrid w:val="false"/>
        <w:spacing w:lineRule="atLeast" w:line="568"/>
        <w:ind w:firstLineChars="200" w:startChars="0" w:start="0" w:endChars="0" w:end="0"/>
        <w:rPr/>
      </w:pPr>
      <w:r>
        <w:rPr>
          <w:rFonts w:ascii="黑体;SimHei" w:hAnsi="黑体;SimHei" w:cs="黑体;SimHei" w:hint="eastAsia" w:eastAsia="黑体;SimHei"/>
        </w:rPr>
        <w:t>第十二条</w:t>
      </w:r>
      <w:r>
        <w:rPr>
          <w:rFonts w:hint="eastAsia"/>
        </w:rPr>
        <w:t xml:space="preserve">  知名商标在有效期内商标所有人可申请注销其知名商标，由市工商行政管理部门审查核准后予以公告。</w:t>
      </w:r>
    </w:p>
    <w:p>
      <w:pPr>
        <w:pStyle w:val="Normal"/>
        <w:snapToGrid w:val="false"/>
        <w:spacing w:lineRule="atLeast" w:line="568"/>
        <w:ind w:firstLineChars="200" w:startChars="0" w:start="0" w:endChars="0" w:end="0"/>
        <w:rPr/>
      </w:pPr>
      <w:r>
        <w:rPr>
          <w:rFonts w:ascii="黑体;SimHei" w:hAnsi="黑体;SimHei" w:cs="黑体;SimHei" w:hint="eastAsia" w:eastAsia="黑体;SimHei"/>
        </w:rPr>
        <w:t>第十三条</w:t>
      </w:r>
      <w:r>
        <w:rPr>
          <w:rFonts w:hint="eastAsia"/>
        </w:rPr>
        <w:t xml:space="preserve">  知名商标所有人可以在其核定使用的商品和商品包装、装潢、说明书、交易文书、广告宣传、展览以及其他业务活动中使用“吉林市知名商标”的字样和标记。</w:t>
      </w:r>
    </w:p>
    <w:p>
      <w:pPr>
        <w:pStyle w:val="Normal"/>
        <w:snapToGrid w:val="false"/>
        <w:spacing w:lineRule="atLeast" w:line="568"/>
        <w:ind w:firstLineChars="200" w:startChars="0" w:start="0" w:endChars="0" w:end="0"/>
        <w:rPr>
          <w:rFonts w:hint="eastAsia"/>
        </w:rPr>
      </w:pPr>
      <w:r>
        <w:rPr>
          <w:rFonts w:hint="eastAsia"/>
        </w:rPr>
        <w:t>非知名商标所有人不得擅自使用或者变相使用“吉林市知名商标”或与其近似的字样或标记。</w:t>
      </w:r>
    </w:p>
    <w:p>
      <w:pPr>
        <w:pStyle w:val="Normal"/>
        <w:snapToGrid w:val="false"/>
        <w:spacing w:lineRule="atLeast" w:line="568"/>
        <w:ind w:firstLineChars="192" w:startChars="0" w:start="0" w:endChars="0" w:end="0"/>
        <w:rPr/>
      </w:pPr>
      <w:r>
        <w:rPr>
          <w:rFonts w:ascii="黑体;SimHei" w:hAnsi="黑体;SimHei" w:cs="黑体;SimHei" w:hint="eastAsia" w:eastAsia="黑体;SimHei"/>
        </w:rPr>
        <w:t>第十四条</w:t>
      </w:r>
      <w:r>
        <w:rPr>
          <w:rFonts w:hint="eastAsia"/>
        </w:rPr>
        <w:t xml:space="preserve">  将与他人知名商标相同或近似的文字作为企业字号使用，可能欺骗公众或者对公众造成误解的，工商行政管理部门不予核准登记；已核准登记的，知名商标所有人可以向工商行政管理部门申请撤销该企业名称登记。</w:t>
      </w:r>
    </w:p>
    <w:p>
      <w:pPr>
        <w:pStyle w:val="Normal"/>
        <w:snapToGrid w:val="false"/>
        <w:spacing w:lineRule="atLeast" w:line="568"/>
        <w:ind w:firstLineChars="200" w:startChars="0" w:start="0" w:endChars="0" w:end="0"/>
        <w:rPr/>
      </w:pPr>
      <w:r>
        <w:rPr>
          <w:rFonts w:ascii="黑体;SimHei" w:hAnsi="黑体;SimHei" w:cs="黑体;SimHei" w:hint="eastAsia" w:eastAsia="黑体;SimHei"/>
        </w:rPr>
        <w:t>第十五条</w:t>
      </w:r>
      <w:r>
        <w:rPr>
          <w:rFonts w:hint="eastAsia"/>
        </w:rPr>
        <w:t xml:space="preserve">  将与他人知名商标相同或近似的文字、图形、字母、数字、三维标志和颜色组合，以及上述要素的组合作为商品的名称、包装、装潢或未注册商标使用，暗示该商品与该知名商标所有人存在某种联系，已经或可能对知名商标所有人的合法权益造成损害的，知名商标所有人可以向工商行政管理部门申请处理。</w:t>
      </w:r>
    </w:p>
    <w:p>
      <w:pPr>
        <w:pStyle w:val="Normal"/>
        <w:snapToGrid w:val="false"/>
        <w:spacing w:lineRule="atLeast" w:line="568"/>
        <w:ind w:firstLineChars="200" w:startChars="0" w:start="0" w:endChars="0" w:end="0"/>
        <w:rPr/>
      </w:pPr>
      <w:r>
        <w:rPr>
          <w:rFonts w:ascii="黑体;SimHei" w:hAnsi="黑体;SimHei" w:cs="黑体;SimHei" w:hint="eastAsia" w:eastAsia="黑体;SimHei"/>
        </w:rPr>
        <w:t>第十六条</w:t>
      </w:r>
      <w:r>
        <w:rPr>
          <w:rFonts w:hint="eastAsia"/>
        </w:rPr>
        <w:t xml:space="preserve">  互联网络域名或域名的主要部分构成对知名商标的复制、模仿、翻译，暗示该域名的注册人与知名商标所有人存在某种联系，已经或可能使知名商标所有人的利益受到损害的，知名商标所有人可以依法申请保护。</w:t>
      </w:r>
    </w:p>
    <w:p>
      <w:pPr>
        <w:pStyle w:val="Normal"/>
        <w:snapToGrid w:val="false"/>
        <w:spacing w:lineRule="atLeast" w:line="568"/>
        <w:ind w:firstLineChars="200" w:startChars="0" w:start="0" w:endChars="0" w:end="0"/>
        <w:rPr/>
      </w:pPr>
      <w:r>
        <w:rPr>
          <w:rFonts w:ascii="黑体;SimHei" w:hAnsi="黑体;SimHei" w:cs="黑体;SimHei" w:hint="eastAsia" w:eastAsia="黑体;SimHei"/>
        </w:rPr>
        <w:t>第十七条</w:t>
      </w:r>
      <w:r>
        <w:rPr>
          <w:rFonts w:hint="eastAsia"/>
        </w:rPr>
        <w:t xml:space="preserve">  任何单位和个人均不得以任何方式丑化、贬低知名商标。</w:t>
      </w:r>
    </w:p>
    <w:p>
      <w:pPr>
        <w:pStyle w:val="Normal"/>
        <w:snapToGrid w:val="false"/>
        <w:spacing w:lineRule="atLeast" w:line="568"/>
        <w:ind w:firstLineChars="200" w:startChars="0" w:start="0" w:endChars="0" w:end="0"/>
        <w:rPr/>
      </w:pPr>
      <w:r>
        <w:rPr>
          <w:rFonts w:ascii="黑体;SimHei" w:hAnsi="黑体;SimHei" w:cs="黑体;SimHei" w:hint="eastAsia" w:eastAsia="黑体;SimHei"/>
        </w:rPr>
        <w:t>第十八条</w:t>
      </w:r>
      <w:r>
        <w:rPr>
          <w:rFonts w:hint="eastAsia"/>
        </w:rPr>
        <w:t xml:space="preserve">  知名商标所有人应当遵守下列规定：</w:t>
      </w:r>
    </w:p>
    <w:p>
      <w:pPr>
        <w:pStyle w:val="Normal"/>
        <w:snapToGrid w:val="false"/>
        <w:spacing w:lineRule="atLeast" w:line="568"/>
        <w:ind w:firstLineChars="200" w:startChars="0" w:start="0" w:endChars="0" w:end="0"/>
        <w:rPr>
          <w:rFonts w:hint="eastAsia"/>
        </w:rPr>
      </w:pPr>
      <w:r>
        <w:rPr>
          <w:rFonts w:hint="eastAsia"/>
        </w:rPr>
        <w:t>（一）“吉林市知名商标”名称或标记只能使用在被认定为知名商标时所核定的商品上，不得扩大范围；</w:t>
      </w:r>
    </w:p>
    <w:p>
      <w:pPr>
        <w:pStyle w:val="Normal"/>
        <w:snapToGrid w:val="false"/>
        <w:spacing w:lineRule="atLeast" w:line="568"/>
        <w:ind w:firstLineChars="200" w:startChars="0" w:start="0" w:endChars="0" w:end="0"/>
        <w:rPr>
          <w:rFonts w:hint="eastAsia"/>
        </w:rPr>
      </w:pPr>
      <w:r>
        <w:rPr>
          <w:rFonts w:hint="eastAsia"/>
        </w:rPr>
        <w:t>（二）必须使用“吉林市知名商标”全称或完整标记，同时标明该知名商标的认定年份；</w:t>
      </w:r>
    </w:p>
    <w:p>
      <w:pPr>
        <w:pStyle w:val="Normal"/>
        <w:snapToGrid w:val="false"/>
        <w:spacing w:lineRule="atLeast" w:line="568"/>
        <w:ind w:firstLineChars="200" w:startChars="0" w:start="0" w:endChars="0" w:end="0"/>
        <w:rPr>
          <w:rFonts w:hint="eastAsia"/>
        </w:rPr>
      </w:pPr>
      <w:r>
        <w:rPr>
          <w:rFonts w:hint="eastAsia"/>
        </w:rPr>
        <w:t>（三）应当加强内部管理和保护措施，提高商品质量，维护知名商标的信誉；</w:t>
      </w:r>
    </w:p>
    <w:p>
      <w:pPr>
        <w:pStyle w:val="Normal"/>
        <w:snapToGrid w:val="false"/>
        <w:spacing w:lineRule="atLeast" w:line="568"/>
        <w:ind w:firstLineChars="200" w:startChars="0" w:start="0" w:endChars="0" w:end="0"/>
        <w:rPr>
          <w:rFonts w:hint="eastAsia"/>
        </w:rPr>
      </w:pPr>
      <w:r>
        <w:rPr>
          <w:rFonts w:hint="eastAsia"/>
        </w:rPr>
        <w:t>（四）许可他人使用其商标时，应当依法办理手续，并同时报送市工商行政管理部门备案；</w:t>
      </w:r>
    </w:p>
    <w:p>
      <w:pPr>
        <w:pStyle w:val="Normal"/>
        <w:snapToGrid w:val="false"/>
        <w:spacing w:lineRule="atLeast" w:line="568"/>
        <w:ind w:firstLineChars="200" w:startChars="0" w:start="0" w:endChars="0" w:end="0"/>
        <w:rPr>
          <w:rFonts w:hint="eastAsia"/>
        </w:rPr>
      </w:pPr>
      <w:r>
        <w:rPr>
          <w:rFonts w:hint="eastAsia"/>
        </w:rPr>
        <w:t>（五）变更注册人名称、地址及其他注册事项的，应当在核准变更之日起</w:t>
      </w:r>
      <w:r>
        <w:rPr>
          <w:rFonts w:hint="eastAsia"/>
        </w:rPr>
        <w:t>30</w:t>
      </w:r>
      <w:r>
        <w:rPr>
          <w:rFonts w:hint="eastAsia"/>
        </w:rPr>
        <w:t>日内将变更事项报送市工商行政管理部门备案；</w:t>
      </w:r>
    </w:p>
    <w:p>
      <w:pPr>
        <w:pStyle w:val="Normal"/>
        <w:snapToGrid w:val="false"/>
        <w:spacing w:lineRule="atLeast" w:line="568"/>
        <w:ind w:firstLineChars="200" w:startChars="0" w:start="0" w:endChars="0" w:end="0"/>
        <w:rPr>
          <w:rFonts w:hint="eastAsia"/>
        </w:rPr>
      </w:pPr>
      <w:r>
        <w:rPr>
          <w:rFonts w:hint="eastAsia"/>
        </w:rPr>
        <w:t>（六）履行法律、法规规定的其他义务。</w:t>
      </w:r>
    </w:p>
    <w:p>
      <w:pPr>
        <w:pStyle w:val="Normal"/>
        <w:snapToGrid w:val="false"/>
        <w:spacing w:lineRule="atLeast" w:line="568"/>
        <w:ind w:firstLineChars="200" w:startChars="0" w:start="0" w:endChars="0" w:end="0"/>
        <w:rPr/>
      </w:pPr>
      <w:r>
        <w:rPr>
          <w:rFonts w:ascii="黑体;SimHei" w:hAnsi="黑体;SimHei" w:cs="黑体;SimHei" w:hint="eastAsia" w:eastAsia="黑体;SimHei"/>
        </w:rPr>
        <w:t>第十九条</w:t>
      </w:r>
      <w:r>
        <w:rPr>
          <w:rFonts w:hint="eastAsia"/>
        </w:rPr>
        <w:t xml:space="preserve">  违反本条例规定的，由工商行政管理部门按照下列规定予以处罚：</w:t>
      </w:r>
    </w:p>
    <w:p>
      <w:pPr>
        <w:pStyle w:val="Normal"/>
        <w:snapToGrid w:val="false"/>
        <w:spacing w:lineRule="atLeast" w:line="568"/>
        <w:ind w:firstLineChars="200" w:startChars="0" w:start="0" w:endChars="0" w:end="0"/>
        <w:rPr>
          <w:rFonts w:hint="eastAsia"/>
        </w:rPr>
      </w:pPr>
      <w:r>
        <w:rPr>
          <w:rFonts w:hint="eastAsia"/>
        </w:rPr>
        <w:t>（一）违反本条例第十三条第二款、第十八条第（一）项规定，擅自使用或变相使用知名商标或与其近似的字样、标记或者扩大知名商标使用范围的，责令停止违法行为，处以</w:t>
      </w:r>
      <w:r>
        <w:rPr>
          <w:rFonts w:hint="eastAsia"/>
        </w:rPr>
        <w:t>5000</w:t>
      </w:r>
      <w:r>
        <w:rPr>
          <w:rFonts w:hint="eastAsia"/>
        </w:rPr>
        <w:t>元以上</w:t>
      </w:r>
      <w:r>
        <w:rPr>
          <w:rFonts w:hint="eastAsia"/>
        </w:rPr>
        <w:t>1</w:t>
      </w:r>
      <w:r>
        <w:rPr>
          <w:rFonts w:hint="eastAsia"/>
        </w:rPr>
        <w:t>万元以下的罚款；有违法所得的，没收违法所得，并处以</w:t>
      </w:r>
      <w:r>
        <w:rPr>
          <w:rFonts w:hint="eastAsia"/>
        </w:rPr>
        <w:t>5000</w:t>
      </w:r>
      <w:r>
        <w:rPr>
          <w:rFonts w:hint="eastAsia"/>
        </w:rPr>
        <w:t>元以上</w:t>
      </w:r>
      <w:r>
        <w:rPr>
          <w:rFonts w:hint="eastAsia"/>
        </w:rPr>
        <w:t>3</w:t>
      </w:r>
      <w:r>
        <w:rPr>
          <w:rFonts w:hint="eastAsia"/>
        </w:rPr>
        <w:t>万元以下的罚款。</w:t>
      </w:r>
    </w:p>
    <w:p>
      <w:pPr>
        <w:pStyle w:val="Normal"/>
        <w:snapToGrid w:val="false"/>
        <w:spacing w:lineRule="atLeast" w:line="568"/>
        <w:ind w:firstLineChars="200" w:startChars="0" w:start="0" w:endChars="0" w:end="0"/>
        <w:rPr>
          <w:rFonts w:hint="eastAsia"/>
        </w:rPr>
      </w:pPr>
      <w:r>
        <w:rPr>
          <w:rFonts w:hint="eastAsia"/>
        </w:rPr>
        <w:t>（二）违反本条例第十七条规定，丑化、贬低知名商标的，责令停止违法行为，处以</w:t>
      </w:r>
      <w:r>
        <w:rPr>
          <w:rFonts w:hint="eastAsia"/>
        </w:rPr>
        <w:t>500</w:t>
      </w:r>
      <w:r>
        <w:rPr>
          <w:rFonts w:hint="eastAsia"/>
        </w:rPr>
        <w:t>元以上</w:t>
      </w:r>
      <w:r>
        <w:rPr>
          <w:rFonts w:hint="eastAsia"/>
        </w:rPr>
        <w:t>1000</w:t>
      </w:r>
      <w:r>
        <w:rPr>
          <w:rFonts w:hint="eastAsia"/>
        </w:rPr>
        <w:t>元以下的罚款；有经营行为的，处以</w:t>
      </w:r>
      <w:r>
        <w:rPr>
          <w:rFonts w:hint="eastAsia"/>
        </w:rPr>
        <w:t>2000</w:t>
      </w:r>
      <w:r>
        <w:rPr>
          <w:rFonts w:hint="eastAsia"/>
        </w:rPr>
        <w:t>元以上</w:t>
      </w:r>
      <w:r>
        <w:rPr>
          <w:rFonts w:hint="eastAsia"/>
        </w:rPr>
        <w:t>5000</w:t>
      </w:r>
      <w:r>
        <w:rPr>
          <w:rFonts w:hint="eastAsia"/>
        </w:rPr>
        <w:t>元以下的罚款。</w:t>
      </w:r>
    </w:p>
    <w:p>
      <w:pPr>
        <w:pStyle w:val="Normal"/>
        <w:snapToGrid w:val="false"/>
        <w:spacing w:lineRule="atLeast" w:line="568"/>
        <w:ind w:firstLineChars="200" w:startChars="0" w:start="0" w:endChars="0" w:end="0"/>
        <w:rPr/>
      </w:pPr>
      <w:r>
        <w:rPr>
          <w:rFonts w:ascii="黑体;SimHei" w:hAnsi="黑体;SimHei" w:cs="黑体;SimHei" w:hint="eastAsia" w:eastAsia="黑体;SimHei"/>
        </w:rPr>
        <w:t>第二十条</w:t>
      </w:r>
      <w:r>
        <w:rPr>
          <w:rFonts w:hint="eastAsia"/>
        </w:rPr>
        <w:t xml:space="preserve">  知名商标所有人、使用人有下列情形之一的，由市工商行政管理部门责令改正；情节严重的，撤销其知名商标并予以公告：</w:t>
      </w:r>
    </w:p>
    <w:p>
      <w:pPr>
        <w:pStyle w:val="Normal"/>
        <w:snapToGrid w:val="false"/>
        <w:spacing w:lineRule="atLeast" w:line="568"/>
        <w:ind w:firstLineChars="200" w:startChars="0" w:start="0" w:endChars="0" w:end="0"/>
        <w:rPr>
          <w:rFonts w:hint="eastAsia"/>
        </w:rPr>
      </w:pPr>
      <w:r>
        <w:rPr>
          <w:rFonts w:hint="eastAsia"/>
        </w:rPr>
        <w:t>（一）以提供虚假证明材料等欺骗手段获取认定知名商标的；</w:t>
      </w:r>
    </w:p>
    <w:p>
      <w:pPr>
        <w:pStyle w:val="Normal"/>
        <w:snapToGrid w:val="false"/>
        <w:spacing w:lineRule="atLeast" w:line="568"/>
        <w:ind w:firstLineChars="200" w:startChars="0" w:start="0" w:endChars="0" w:end="0"/>
        <w:rPr>
          <w:rFonts w:hint="eastAsia"/>
        </w:rPr>
      </w:pPr>
      <w:r>
        <w:rPr>
          <w:rFonts w:hint="eastAsia"/>
        </w:rPr>
        <w:t>（二）商品质量下降，已不具备认定条件的；</w:t>
      </w:r>
    </w:p>
    <w:p>
      <w:pPr>
        <w:pStyle w:val="Normal"/>
        <w:snapToGrid w:val="false"/>
        <w:spacing w:lineRule="atLeast" w:line="568"/>
        <w:ind w:firstLineChars="200" w:startChars="0" w:start="0" w:endChars="0" w:end="0"/>
        <w:rPr>
          <w:rFonts w:hint="eastAsia"/>
        </w:rPr>
      </w:pPr>
      <w:r>
        <w:rPr>
          <w:rFonts w:hint="eastAsia"/>
        </w:rPr>
        <w:t>（三）侵犯他人注册商标专用权的；</w:t>
      </w:r>
    </w:p>
    <w:p>
      <w:pPr>
        <w:pStyle w:val="Normal"/>
        <w:snapToGrid w:val="false"/>
        <w:spacing w:lineRule="atLeast" w:line="568"/>
        <w:ind w:firstLineChars="200" w:startChars="0" w:start="0" w:endChars="0" w:end="0"/>
        <w:rPr>
          <w:rFonts w:hint="eastAsia"/>
        </w:rPr>
      </w:pPr>
      <w:r>
        <w:rPr>
          <w:rFonts w:hint="eastAsia"/>
        </w:rPr>
        <w:t>（四）未使用吉林市知名商标全称或完整标记，或未标明该知名商标认定年份的；</w:t>
      </w:r>
    </w:p>
    <w:p>
      <w:pPr>
        <w:pStyle w:val="Normal"/>
        <w:snapToGrid w:val="false"/>
        <w:spacing w:lineRule="atLeast" w:line="568"/>
        <w:ind w:firstLineChars="200" w:startChars="0" w:start="0" w:endChars="0" w:end="0"/>
        <w:rPr>
          <w:rFonts w:hint="eastAsia"/>
        </w:rPr>
      </w:pPr>
      <w:r>
        <w:rPr>
          <w:rFonts w:hint="eastAsia"/>
        </w:rPr>
        <w:t>（五）其他违反法律、法规的行为，影响知名商标信誉的。</w:t>
      </w:r>
    </w:p>
    <w:p>
      <w:pPr>
        <w:pStyle w:val="Normal"/>
        <w:snapToGrid w:val="false"/>
        <w:spacing w:lineRule="atLeast" w:line="568"/>
        <w:ind w:firstLineChars="200" w:startChars="0" w:start="0" w:endChars="0" w:end="0"/>
        <w:rPr>
          <w:rFonts w:hint="eastAsia"/>
        </w:rPr>
      </w:pPr>
      <w:r>
        <w:rPr>
          <w:rFonts w:hint="eastAsia"/>
        </w:rPr>
        <w:t>有前款所列行为的，任何单位或个人可以向工商行政管理部门提出撤销该知名商标的建议或投诉。</w:t>
      </w:r>
    </w:p>
    <w:p>
      <w:pPr>
        <w:pStyle w:val="Normal"/>
        <w:snapToGrid w:val="false"/>
        <w:spacing w:lineRule="atLeast" w:line="568"/>
        <w:ind w:firstLineChars="200" w:startChars="0" w:start="0" w:endChars="0" w:end="0"/>
        <w:rPr/>
      </w:pPr>
      <w:r>
        <w:rPr>
          <w:rFonts w:ascii="黑体;SimHei" w:hAnsi="黑体;SimHei" w:cs="黑体;SimHei" w:hint="eastAsia" w:eastAsia="黑体;SimHei"/>
        </w:rPr>
        <w:t>第二十一条</w:t>
      </w:r>
      <w:r>
        <w:rPr>
          <w:rFonts w:hint="eastAsia"/>
        </w:rPr>
        <w:t xml:space="preserve">  工商行政管理部门工作人员及其他有关人员在认定和保护知名商标工作中，滥用职权、徇私舞弊、牟取不正当利益的，依法给予行政处分。</w:t>
      </w:r>
    </w:p>
    <w:p>
      <w:pPr>
        <w:pStyle w:val="Normal"/>
        <w:snapToGrid w:val="false"/>
        <w:spacing w:lineRule="atLeast" w:line="568"/>
        <w:ind w:firstLineChars="200" w:startChars="0" w:start="0" w:endChars="0" w:end="0"/>
        <w:rPr/>
      </w:pPr>
      <w:r>
        <w:rPr>
          <w:rFonts w:ascii="黑体;SimHei" w:hAnsi="黑体;SimHei" w:cs="黑体;SimHei" w:hint="eastAsia" w:eastAsia="黑体;SimHei"/>
        </w:rPr>
        <w:t>第二十二条</w:t>
      </w:r>
      <w:r>
        <w:rPr>
          <w:rFonts w:hint="eastAsia"/>
        </w:rPr>
        <w:t xml:space="preserve">  本条例由吉林市人民代表大会常务委员会负责解释。</w:t>
      </w:r>
    </w:p>
    <w:p>
      <w:pPr>
        <w:pStyle w:val="Normal"/>
        <w:snapToGrid w:val="false"/>
        <w:spacing w:lineRule="atLeast" w:line="568"/>
        <w:ind w:firstLineChars="192" w:startChars="0" w:start="0" w:endChars="0" w:end="0"/>
        <w:rPr>
          <w:rFonts w:cs="宋体;SimSun" w:hint="eastAsia"/>
        </w:rPr>
        <w:sectPr>
          <w:footerReference w:type="default" r:id="rId2"/>
          <w:type w:val="nextPage"/>
          <w:pgSz w:w="11906" w:h="16838"/>
          <w:pgMar w:left="1531" w:right="1531" w:gutter="0" w:header="0" w:top="2098" w:footer="851" w:bottom="2098"/>
          <w:pgNumType w:start="1" w:fmt="decimal"/>
          <w:formProt w:val="false"/>
          <w:textDirection w:val="lrTb"/>
          <w:docGrid w:type="lines" w:linePitch="500" w:charSpace="614"/>
        </w:sectPr>
      </w:pPr>
      <w:r>
        <w:rPr>
          <w:rFonts w:ascii="黑体;SimHei" w:hAnsi="黑体;SimHei" w:cs="黑体;SimHei" w:hint="eastAsia" w:eastAsia="黑体;SimHei"/>
        </w:rPr>
        <w:t>第二十三条</w:t>
      </w:r>
      <w:r>
        <w:rPr>
          <w:rFonts w:hint="eastAsia"/>
        </w:rPr>
        <w:t xml:space="preserve">  本条例自</w:t>
      </w:r>
      <w:r>
        <w:rPr>
          <w:rFonts w:hint="eastAsia"/>
        </w:rPr>
        <w:t>2004</w:t>
      </w:r>
      <w:r>
        <w:rPr>
          <w:rFonts w:hint="eastAsia"/>
        </w:rPr>
        <w:t>年</w:t>
      </w:r>
      <w:r>
        <w:rPr>
          <w:rFonts w:hint="eastAsia"/>
        </w:rPr>
        <w:t>12</w:t>
      </w:r>
      <w:r>
        <w:rPr>
          <w:rFonts w:hint="eastAsia"/>
        </w:rPr>
        <w:t>月</w:t>
      </w:r>
      <w:r>
        <w:rPr>
          <w:rFonts w:hint="eastAsia"/>
        </w:rPr>
        <w:t>1</w:t>
      </w:r>
      <w:r>
        <w:rPr>
          <w:rFonts w:hint="eastAsia"/>
        </w:rPr>
        <w:t>日起施行。</w:t>
      </w:r>
    </w:p>
    <w:p>
      <w:pPr>
        <w:pStyle w:val="Normal"/>
        <w:rPr>
          <w:rFonts w:ascii="仿宋_GB2312" w:hAnsi="仿宋_GB2312" w:eastAsia="仿宋_GB2312" w:cs="宋体;SimSun" w:hint="eastAsia"/>
          <w:sz w:val="32"/>
          <w:szCs w:val="32"/>
        </w:rPr>
      </w:pPr>
      <w:r>
        <w:rPr>
          <w:rFonts w:eastAsia="仿宋_GB2312" w:cs="宋体;SimSun" w:hint="eastAsia"/>
          <w:sz w:val="32"/>
          <w:szCs w:val="32"/>
        </w:rPr>
      </w:r>
    </w:p>
    <w:sectPr>
      <w:footerReference w:type="default" r:id="rId3"/>
      <w:footerReference w:type="first" r:id="rId4"/>
      <w:type w:val="nextPage"/>
      <w:pgSz w:w="11906" w:h="16838"/>
      <w:pgMar w:left="1800" w:right="1800" w:gutter="0" w:header="0"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仿宋_GB2312">
    <w:charset w:val="86"/>
    <w:family w:val="modern"/>
    <w:pitch w:val="default"/>
  </w:font>
  <w:font w:name="Liberation Sans">
    <w:altName w:val="Arial"/>
    <w:charset w:val="01" w:characterSet="utf-8"/>
    <w:family w:val="swiss"/>
    <w:pitch w:val="variable"/>
  </w:font>
  <w:font w:name="宋体">
    <w:altName w:val="SimSun"/>
    <w:charset w:val="86"/>
    <w:family w:val="auto"/>
    <w:pitch w:val="variable"/>
  </w:font>
  <w:font w:name="黑体">
    <w:altName w:val="SimHei"/>
    <w:charset w:val="86"/>
    <w:family w:val="modern"/>
    <w:pitch w:val="default"/>
  </w:font>
  <w:font w:name="楷体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distT="0" distB="0" distL="0" distR="0" simplePos="0" relativeHeight="8" behindDoc="0" locked="0" layoutInCell="0" allowOverlap="1">
              <wp:simplePos x="0" y="0"/>
              <wp:positionH relativeFrom="margin">
                <wp:align>right</wp:align>
              </wp:positionH>
              <wp:positionV relativeFrom="paragraph">
                <wp:posOffset>635</wp:posOffset>
              </wp:positionV>
              <wp:extent cx="9906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99060" cy="302260"/>
                      </a:xfrm>
                      <a:prstGeom prst="rect"/>
                      <a:solidFill>
                        <a:srgbClr val="FFFFFF">
                          <a:alpha val="0"/>
                        </a:srgbClr>
                      </a:solidFill>
                    </wps:spPr>
                    <wps:txbx>
                      <w:txbxContent>
                        <w:p>
                          <w:pPr>
                            <w:pStyle w:val="Footer"/>
                            <w:rPr>
                              <w:rStyle w:val="PageNumber"/>
                              <w:rFonts w:ascii="宋体;SimSun" w:hAnsi="宋体;SimSun" w:eastAsia="宋体;SimSun" w:cs="宋体;SimSun"/>
                              <w:sz w:val="28"/>
                              <w:szCs w:val="28"/>
                            </w:rPr>
                          </w:pPr>
                          <w:r>
                            <w:rPr>
                              <w:rStyle w:val="PageNumber"/>
                              <w:rFonts w:eastAsia="宋体;SimSun" w:cs="宋体;SimSun" w:ascii="宋体;SimSun" w:hAnsi="宋体;SimSun"/>
                              <w:sz w:val="28"/>
                              <w:szCs w:val="28"/>
                            </w:rPr>
                            <w:fldChar w:fldCharType="begin"/>
                          </w:r>
                          <w:r>
                            <w:rPr>
                              <w:rStyle w:val="PageNumber"/>
                              <w:rFonts w:eastAsia="宋体;SimSun" w:cs="宋体;SimSun" w:ascii="宋体;SimSun" w:hAnsi="宋体;SimSun"/>
                              <w:sz w:val="28"/>
                              <w:szCs w:val="28"/>
                            </w:rPr>
                            <w:instrText xml:space="preserve"> PAGE </w:instrText>
                          </w:r>
                          <w:r>
                            <w:rPr>
                              <w:rStyle w:val="PageNumber"/>
                              <w:rFonts w:eastAsia="宋体;SimSun" w:cs="宋体;SimSun" w:ascii="宋体;SimSun" w:hAnsi="宋体;SimSun"/>
                              <w:sz w:val="28"/>
                              <w:szCs w:val="28"/>
                            </w:rPr>
                            <w:fldChar w:fldCharType="separate"/>
                          </w:r>
                          <w:r>
                            <w:rPr>
                              <w:rStyle w:val="PageNumber"/>
                              <w:rFonts w:eastAsia="宋体;SimSun" w:cs="宋体;SimSun" w:ascii="宋体;SimSun" w:hAnsi="宋体;SimSun"/>
                              <w:sz w:val="28"/>
                              <w:szCs w:val="28"/>
                            </w:rPr>
                            <w:t>7</w:t>
                          </w:r>
                          <w:r>
                            <w:rPr>
                              <w:rStyle w:val="PageNumber"/>
                              <w:rFonts w:eastAsia="宋体;SimSun"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7.8pt;height:23.8pt;mso-wrap-distance-left:0pt;mso-wrap-distance-right:0pt;mso-wrap-distance-top:0pt;mso-wrap-distance-bottom:0pt;margin-top:0.05pt;mso-position-vertical-relative:text;margin-left:434.4pt;mso-position-horizontal:right;mso-position-horizontal-relative:margin">
              <v:fill opacity="0f"/>
              <v:textbox inset="0in,0in,0in,0in">
                <w:txbxContent>
                  <w:p>
                    <w:pPr>
                      <w:pStyle w:val="Footer"/>
                      <w:rPr>
                        <w:rStyle w:val="PageNumber"/>
                        <w:rFonts w:ascii="宋体;SimSun" w:hAnsi="宋体;SimSun" w:eastAsia="宋体;SimSun" w:cs="宋体;SimSun"/>
                        <w:sz w:val="28"/>
                        <w:szCs w:val="28"/>
                      </w:rPr>
                    </w:pPr>
                    <w:r>
                      <w:rPr>
                        <w:rStyle w:val="PageNumber"/>
                        <w:rFonts w:eastAsia="宋体;SimSun" w:cs="宋体;SimSun" w:ascii="宋体;SimSun" w:hAnsi="宋体;SimSun"/>
                        <w:sz w:val="28"/>
                        <w:szCs w:val="28"/>
                      </w:rPr>
                      <w:fldChar w:fldCharType="begin"/>
                    </w:r>
                    <w:r>
                      <w:rPr>
                        <w:rStyle w:val="PageNumber"/>
                        <w:rFonts w:eastAsia="宋体;SimSun" w:cs="宋体;SimSun" w:ascii="宋体;SimSun" w:hAnsi="宋体;SimSun"/>
                        <w:sz w:val="28"/>
                        <w:szCs w:val="28"/>
                      </w:rPr>
                      <w:instrText xml:space="preserve"> PAGE </w:instrText>
                    </w:r>
                    <w:r>
                      <w:rPr>
                        <w:rStyle w:val="PageNumber"/>
                        <w:rFonts w:eastAsia="宋体;SimSun" w:cs="宋体;SimSun" w:ascii="宋体;SimSun" w:hAnsi="宋体;SimSun"/>
                        <w:sz w:val="28"/>
                        <w:szCs w:val="28"/>
                      </w:rPr>
                      <w:fldChar w:fldCharType="separate"/>
                    </w:r>
                    <w:r>
                      <w:rPr>
                        <w:rStyle w:val="PageNumber"/>
                        <w:rFonts w:eastAsia="宋体;SimSun" w:cs="宋体;SimSun" w:ascii="宋体;SimSun" w:hAnsi="宋体;SimSun"/>
                        <w:sz w:val="28"/>
                        <w:szCs w:val="28"/>
                      </w:rPr>
                      <w:t>7</w:t>
                    </w:r>
                    <w:r>
                      <w:rPr>
                        <w:rStyle w:val="PageNumber"/>
                        <w:rFonts w:eastAsia="宋体;SimSun" w:cs="宋体;SimSun" w:ascii="宋体;SimSun" w:hAnsi="宋体;SimSun"/>
                        <w:sz w:val="28"/>
                        <w:szCs w:val="28"/>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distT="0" distB="0" distL="0" distR="0" simplePos="0" relativeHeight="9" behindDoc="0" locked="0" layoutInCell="0" allowOverlap="1">
              <wp:simplePos x="0" y="0"/>
              <wp:positionH relativeFrom="margin">
                <wp:align>right</wp:align>
              </wp:positionH>
              <wp:positionV relativeFrom="paragraph">
                <wp:posOffset>635</wp:posOffset>
              </wp:positionV>
              <wp:extent cx="99060" cy="302260"/>
              <wp:effectExtent l="0" t="0" r="0" b="0"/>
              <wp:wrapSquare wrapText="bothSides"/>
              <wp:docPr id="2" name="Frame2"/>
              <a:graphic xmlns:a="http://schemas.openxmlformats.org/drawingml/2006/main">
                <a:graphicData uri="http://schemas.microsoft.com/office/word/2010/wordprocessingShape">
                  <wps:wsp>
                    <wps:cNvSpPr txBox="1"/>
                    <wps:spPr>
                      <a:xfrm>
                        <a:off x="0" y="0"/>
                        <a:ext cx="99060" cy="302260"/>
                      </a:xfrm>
                      <a:prstGeom prst="rect"/>
                      <a:solidFill>
                        <a:srgbClr val="FFFFFF">
                          <a:alpha val="0"/>
                        </a:srgbClr>
                      </a:solidFill>
                    </wps:spPr>
                    <wps:txbx>
                      <w:txbxContent>
                        <w:p>
                          <w:pPr>
                            <w:pStyle w:val="Footer"/>
                            <w:rPr/>
                          </w:pPr>
                          <w:r>
                            <w:rPr>
                              <w:rStyle w:val="PageNumber"/>
                              <w:rFonts w:eastAsia="宋体;SimSun" w:cs="宋体;SimSun" w:ascii="宋体;SimSun" w:hAnsi="宋体;SimSun"/>
                              <w:sz w:val="28"/>
                              <w:szCs w:val="28"/>
                            </w:rPr>
                            <w:fldChar w:fldCharType="begin"/>
                          </w:r>
                          <w:r>
                            <w:rPr>
                              <w:rStyle w:val="PageNumber"/>
                              <w:rFonts w:eastAsia="宋体;SimSun" w:cs="宋体;SimSun" w:ascii="宋体;SimSun" w:hAnsi="宋体;SimSun"/>
                              <w:sz w:val="28"/>
                              <w:szCs w:val="28"/>
                            </w:rPr>
                            <w:instrText xml:space="preserve"> PAGE </w:instrText>
                          </w:r>
                          <w:r>
                            <w:rPr>
                              <w:rStyle w:val="PageNumber"/>
                              <w:rFonts w:eastAsia="宋体;SimSun" w:cs="宋体;SimSun" w:ascii="宋体;SimSun" w:hAnsi="宋体;SimSun"/>
                              <w:sz w:val="28"/>
                              <w:szCs w:val="28"/>
                            </w:rPr>
                            <w:fldChar w:fldCharType="separate"/>
                          </w:r>
                          <w:r>
                            <w:rPr>
                              <w:rStyle w:val="PageNumber"/>
                              <w:rFonts w:eastAsia="宋体;SimSun" w:cs="宋体;SimSun" w:ascii="宋体;SimSun" w:hAnsi="宋体;SimSun"/>
                              <w:sz w:val="28"/>
                              <w:szCs w:val="28"/>
                            </w:rPr>
                            <w:t>8</w:t>
                          </w:r>
                          <w:r>
                            <w:rPr>
                              <w:rStyle w:val="PageNumber"/>
                              <w:rFonts w:eastAsia="宋体;SimSun"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7.8pt;height:23.8pt;mso-wrap-distance-left:0pt;mso-wrap-distance-right:0pt;mso-wrap-distance-top:0pt;mso-wrap-distance-bottom:0pt;margin-top:0.05pt;mso-position-vertical-relative:text;margin-left:407.5pt;mso-position-horizontal:right;mso-position-horizontal-relative:margin">
              <v:fill opacity="0f"/>
              <v:textbox inset="0in,0in,0in,0in">
                <w:txbxContent>
                  <w:p>
                    <w:pPr>
                      <w:pStyle w:val="Footer"/>
                      <w:rPr/>
                    </w:pPr>
                    <w:r>
                      <w:rPr>
                        <w:rStyle w:val="PageNumber"/>
                        <w:rFonts w:eastAsia="宋体;SimSun" w:cs="宋体;SimSun" w:ascii="宋体;SimSun" w:hAnsi="宋体;SimSun"/>
                        <w:sz w:val="28"/>
                        <w:szCs w:val="28"/>
                      </w:rPr>
                      <w:fldChar w:fldCharType="begin"/>
                    </w:r>
                    <w:r>
                      <w:rPr>
                        <w:rStyle w:val="PageNumber"/>
                        <w:rFonts w:eastAsia="宋体;SimSun" w:cs="宋体;SimSun" w:ascii="宋体;SimSun" w:hAnsi="宋体;SimSun"/>
                        <w:sz w:val="28"/>
                        <w:szCs w:val="28"/>
                      </w:rPr>
                      <w:instrText xml:space="preserve"> PAGE </w:instrText>
                    </w:r>
                    <w:r>
                      <w:rPr>
                        <w:rStyle w:val="PageNumber"/>
                        <w:rFonts w:eastAsia="宋体;SimSun" w:cs="宋体;SimSun" w:ascii="宋体;SimSun" w:hAnsi="宋体;SimSun"/>
                        <w:sz w:val="28"/>
                        <w:szCs w:val="28"/>
                      </w:rPr>
                      <w:fldChar w:fldCharType="separate"/>
                    </w:r>
                    <w:r>
                      <w:rPr>
                        <w:rStyle w:val="PageNumber"/>
                        <w:rFonts w:eastAsia="宋体;SimSun" w:cs="宋体;SimSun" w:ascii="宋体;SimSun" w:hAnsi="宋体;SimSun"/>
                        <w:sz w:val="28"/>
                        <w:szCs w:val="28"/>
                      </w:rPr>
                      <w:t>8</w:t>
                    </w:r>
                    <w:r>
                      <w:rPr>
                        <w:rStyle w:val="PageNumber"/>
                        <w:rFonts w:eastAsia="宋体;SimSun" w:cs="宋体;SimSun" w:ascii="宋体;SimSun" w:hAnsi="宋体;SimSun"/>
                        <w:sz w:val="28"/>
                        <w:szCs w:val="28"/>
                      </w:rPr>
                      <w:fldChar w:fldCharType="end"/>
                    </w:r>
                  </w:p>
                </w:txbxContent>
              </v:textbox>
              <w10:wrap type="squar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仿宋_GB2312" w:hAnsi="仿宋_GB2312" w:eastAsia="仿宋_GB2312" w:cs="Times New Roman"/>
      <w:color w:val="auto"/>
      <w:kern w:val="2"/>
      <w:sz w:val="32"/>
      <w:szCs w:val="32"/>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纯文本"/>
    <w:basedOn w:val="Normal"/>
    <w:qFormat/>
    <w:pPr/>
    <w:rPr>
      <w:rFonts w:ascii="宋体;SimSun" w:hAnsi="宋体;SimSun" w:eastAsia="宋体;SimSun" w:cs="Courier New"/>
      <w:sz w:val="21"/>
      <w:szCs w:val="21"/>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BodyTextIndent">
    <w:name w:val="Body Text Indent"/>
    <w:basedOn w:val="Normal"/>
    <w:pPr>
      <w:autoSpaceDE w:val="false"/>
      <w:spacing w:lineRule="atLeast" w:line="603"/>
      <w:ind w:firstLine="640" w:start="0" w:end="0"/>
      <w:jc w:val="start"/>
    </w:pPr>
    <w:rPr>
      <w:rFonts w:ascii="黑体;SimHei" w:hAnsi="黑体;SimHei" w:eastAsia="黑体;SimHei"/>
      <w:color w:val="000000"/>
      <w:kern w:val="0"/>
      <w:u w:val="wave"/>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2</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2017-04-17T08:36:00Z</dcterms:created>
  <dc:creator>admin</dc:creator>
  <dc:description/>
  <cp:keywords/>
  <dc:language>en-US</dc:language>
  <cp:lastModifiedBy>admin</cp:lastModifiedBy>
  <dcterms:modified xsi:type="dcterms:W3CDTF">2017-04-17T13:23:00Z</dcterms:modified>
  <cp:revision>4</cp:revision>
  <dc:subject/>
  <dc:title>吉林市知名商标认定和保护条例</dc:title>
</cp:coreProperties>
</file>