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cs="宋体;SimSun" w:hint="eastAsia"/>
          <w:sz w:val="44"/>
          <w:szCs w:val="44"/>
        </w:rPr>
      </w:pPr>
      <w:r>
        <w:rPr>
          <w:rFonts w:cs="宋体;SimSun" w:hint="eastAsia"/>
          <w:sz w:val="44"/>
          <w:szCs w:val="44"/>
        </w:rPr>
        <w:t>吉林市河道管理条例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257" w:endChars="269"/>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23</w:t>
      </w:r>
      <w:r>
        <w:rPr>
          <w:rFonts w:ascii="楷体_GB2312" w:hAnsi="楷体_GB2312" w:cs="宋体;SimSun" w:hint="eastAsia" w:eastAsia="楷体_GB2312"/>
          <w:sz w:val="32"/>
          <w:szCs w:val="32"/>
        </w:rPr>
        <w:t>日吉林市第十一届人民代表大会常务委员会第三十一次会议通过</w:t>
      </w:r>
      <w:r>
        <w:rPr>
          <w:rFonts w:eastAsia="楷体_GB2312" w:cs="宋体;SimSun" w:hint="eastAsia" w:ascii="楷体_GB2312" w:hAnsi="楷体_GB2312"/>
          <w:sz w:val="32"/>
          <w:szCs w:val="32"/>
        </w:rPr>
        <w:t>1997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14</w:t>
      </w:r>
      <w:r>
        <w:rPr>
          <w:rFonts w:ascii="楷体_GB2312" w:hAnsi="楷体_GB2312" w:cs="宋体;SimSun" w:hint="eastAsia" w:eastAsia="楷体_GB2312"/>
          <w:sz w:val="32"/>
          <w:szCs w:val="32"/>
        </w:rPr>
        <w:t>日吉林省第八届人民代表大会常务委员会第三十四次会议批准</w:t>
      </w:r>
      <w:r>
        <w:rPr>
          <w:rFonts w:eastAsia="楷体_GB2312" w:cs="宋体;SimSun" w:hint="eastAsia" w:ascii="楷体_GB2312" w:hAnsi="楷体_GB2312"/>
          <w:sz w:val="32"/>
          <w:szCs w:val="32"/>
        </w:rPr>
        <w:t>2000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日吉林市第十二届人民代表大会常务委员会第二十一次会议修改</w:t>
      </w:r>
      <w:r>
        <w:rPr>
          <w:rFonts w:eastAsia="楷体_GB2312" w:cs="宋体;SimSun" w:hint="eastAsia" w:ascii="楷体_GB2312" w:hAnsi="楷体_GB2312"/>
          <w:sz w:val="32"/>
          <w:szCs w:val="32"/>
        </w:rPr>
        <w:t>2001</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日吉林省第九届人民代表大会常务委员会第二十三次会议批准）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为加强河道管理，保障人民生命财产安全，发挥江河综合效益，根据《中华人民共和国水法》、《中华人民共和国河道管理条例》等法律、法规，结合本市实际，制定本条例。</w:t>
      </w:r>
    </w:p>
    <w:p>
      <w:pPr>
        <w:pStyle w:val="Style15"/>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本条例适用于本市行政区域内河道的管理。</w:t>
      </w:r>
    </w:p>
    <w:p>
      <w:pPr>
        <w:pStyle w:val="Style15"/>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河道管理范围包括河道内的水域、整治工程、沙洲、滩地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含耕地、林地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、行洪区、两岸堤防及护堤地。</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有堤防的河道按两岸堤防背水面护堤地边线确定；无堤防</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包括未达规划设计标准的堤防</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的河道按规划设计洪水位确定；尚未批准规划设计的河道按历史最高洪水位确定。</w:t>
      </w:r>
    </w:p>
    <w:p>
      <w:pPr>
        <w:pStyle w:val="Style15"/>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开发利用保护江河资源和防治水害，应当全面规划，统筹兼顾，综合利用，讲求效益，服从防洪的总体安排。</w:t>
      </w:r>
    </w:p>
    <w:p>
      <w:pPr>
        <w:pStyle w:val="Style15"/>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第五条 </w:t>
      </w:r>
      <w:r>
        <w:rPr>
          <w:rFonts w:ascii="仿宋_GB2312" w:hAnsi="仿宋_GB2312" w:cs="宋体;SimSun" w:hint="eastAsia" w:eastAsia="仿宋_GB2312"/>
          <w:sz w:val="32"/>
          <w:szCs w:val="32"/>
        </w:rPr>
        <w:t>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、区人民政府水行政主管部门，是本行政区域内河道的主管机关。其主要职责是：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宣传、贯彻、执行有关河道的法律、法规和规章，查处违法行为；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组织制定、实施河道的防洪、整治建设和综合开发利用规划；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负责河道管理范围内用河行为和工程建设方案审查及工程施工的监督检查；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组织制定和实施河道防洪调度及清障计划方案；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负责河道堤防、滩地、水面管理和堤防工程的维修养护；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依法收取及管理河道各项经费；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负责河道管理方面的其它工作。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河道的日常管理工作，由水行政主管部门的河道管理机构负责。</w:t>
      </w:r>
    </w:p>
    <w:p>
      <w:pPr>
        <w:pStyle w:val="Style15"/>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河道管理实行按流域统一规划和按管理权限分级分段管理相结合的原则。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松花江、辉发河、饮马河、拉林河、卡岔河在国家和省河道主管部门统一规划下，由市、县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河道主管机关按行政区划分段实施管理；蛟河、拉法河、温德河、牛亡牛河、鳌龙河、团山河、金沙河、岔路河、细鳞河、霍伦河在市河道主管机关统一规划下，由各县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、区河道主管机关实施管理；其他河流由各县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、区河道主管机关组织规划，实施管理。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市城区松花江段河道</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上起丰满大堤下至市城区左岸与九台市、右岸与舒兰市交界处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及其主要支流温德河、牛亡牛河、团山河、鳌龙河百年一遇洪水回水段河道，由市河道主管机关直接管理。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城区段河道由所在地县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河道主管机关管理。</w:t>
      </w:r>
    </w:p>
    <w:p>
      <w:pPr>
        <w:pStyle w:val="Style15"/>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一切单位和个人都有保护河道堤防安全和参加防汛抢险的义务。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河道整治与建设</w:t>
      </w:r>
    </w:p>
    <w:p>
      <w:pPr>
        <w:pStyle w:val="Style15"/>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、区河道主管机关应根据流域综合规划、防洪标准和通航标准及有关技术要求，按河道管理权限编制河道整治建设规划。</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蛟河、拉法河、温德河、牛亡牛河、鳌龙河、团山河、金沙河、岔路河、细鳞河、霍伦河等河流的河道整治建设规划由市河道主管机关组织编制，报市人民政府批准，报省河道主管部门备案；其他河流的河道整治建设规划，由所在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、区河道主管机关组织编制，报同级人民政府批准，报市河道主管机关备案。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市城区、各县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沿河城镇的河道整治专业规划，须纳入城市及城镇建设总体规划。</w:t>
      </w:r>
    </w:p>
    <w:p>
      <w:pPr>
        <w:pStyle w:val="Style15"/>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河道整治与建设、河道资源的开发利用，应当服从河道整治规划，保持河势稳定和行洪、航运的畅通，维护堤防及河道工程的安全。</w:t>
      </w:r>
    </w:p>
    <w:p>
      <w:pPr>
        <w:pStyle w:val="Style15"/>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在河道管理范围内新建、改建、扩建跨河、临河、穿河、穿堤的桥梁、码头、港池、道路、管道、缆线、输电线路、取排水口、泵站等建筑物的，建设单位必须按照河道管理权限和有关技术要求，在立项时应向河道主管机关提出申请，并将工程建设方案报送河道主管机关审查同意后，方可按基本建设程序履行审批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建设单位在编制立项文件向河道主管机关提出建设项目申请时，须提供以下文件：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申请书；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建设项目所依据的文件；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建设项目涉及河道与防洪部分的初步方案；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占用河道管理范围内土地情况及该建设项目防御洪涝的设防标准与措施；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建设项目对河势变化、堤防安全、河道行洪、河水水质的影响以及采取的补救措施；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与建设项目有关的图件和其他资料。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重要的建设项目，建设单位还应提供详尽的防洪评价报告。</w:t>
      </w:r>
    </w:p>
    <w:p>
      <w:pPr>
        <w:pStyle w:val="Style15"/>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河道管理范围内的建设项目批准后，建设单位应将施工安排方案报送河道主管机关审核。施工方案应包括施工占用河道情况及施工期防汛措施。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建设单位必须按照批准的工程规模、标准和高程进行施工。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工程竣工后，由河道主管机关按防洪渡汛要求进行验收，建设单位应在六个月内将工程竣工资料报河道主管机关备案。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因工程施工造成河道淤积和植被破坏的，建设单位必须按规定的时间和要求进行清淤和恢复植被。</w:t>
      </w:r>
    </w:p>
    <w:p>
      <w:pPr>
        <w:pStyle w:val="Style15"/>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在河道上修建桥梁、码头和其它设施，必须按照国家规定的防洪标准所确定的河宽进行，不得缩窄河道，不得挤占行洪区。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桥梁和栈桥、跨河管道和线路的净空高度及穿河管线、缆线的埋深必须符合防洪和航运要求。</w:t>
      </w:r>
    </w:p>
    <w:p>
      <w:pPr>
        <w:pStyle w:val="Style15"/>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新建的跨堤道路、穿堤涵闸、泵站及埋设的管线等工程设施，必须经河道主管机关验收合格后方可启用，并服从河道主管机关的安全管理。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在堤防上已建前款所指工程设施，河道主管机关应定期检查，对不符合安全要求的，限期由原建设单位或使用、受益单位进行维修或改建；废弃的工程设施由原建设单位或使用单位负责拆除。</w:t>
      </w:r>
    </w:p>
    <w:p>
      <w:pPr>
        <w:pStyle w:val="Style15"/>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河道主管机关进行河道整治时涉及航道的，有关设计和计划应兼顾航运的需要，并事先征求交通主管部门意见；交通主管部门进行航道整治，有关设计和计划应符合防洪安全要求，并事先征求河道主管机关意见。</w:t>
      </w:r>
    </w:p>
    <w:p>
      <w:pPr>
        <w:pStyle w:val="Style15"/>
        <w:ind w:firstLineChars="200" w:startChars="0" w:start="0" w:endChars="0" w:end="0"/>
        <w:rPr/>
      </w:pPr>
      <w:r>
        <w:rPr>
          <w:rFonts w:ascii="黑体;SimHei" w:hAnsi="黑体;SimHei" w:cs="宋体;SimSun" w:hint="eastAsia" w:eastAsia="黑体;SimHei"/>
          <w:sz w:val="32"/>
          <w:szCs w:val="32"/>
        </w:rPr>
        <w:t xml:space="preserve">第十五条 </w:t>
      </w:r>
      <w:r>
        <w:rPr>
          <w:rFonts w:ascii="仿宋_GB2312" w:hAnsi="仿宋_GB2312" w:cs="宋体;SimSun" w:hint="eastAsia" w:eastAsia="仿宋_GB2312"/>
          <w:sz w:val="32"/>
          <w:szCs w:val="32"/>
        </w:rPr>
        <w:t>跨县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、区的河道和界河，未经市河道主管机关批准，禁止单方修建排水、阻水、引水、蓄水工程及河道整治工程。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现已给对岸或上、下游造成危害的前款所指工程，由原建设单位采取补救措施，不能采取补救措施的，应限期拆除。</w:t>
      </w:r>
    </w:p>
    <w:p>
      <w:pPr>
        <w:pStyle w:val="Style15"/>
        <w:ind w:firstLineChars="200" w:startChars="0" w:start="0" w:endChars="0" w:end="0"/>
        <w:rPr/>
      </w:pPr>
      <w:r>
        <w:rPr>
          <w:rFonts w:ascii="黑体;SimHei" w:hAnsi="黑体;SimHei" w:cs="宋体;SimSun" w:hint="eastAsia" w:eastAsia="黑体;SimHei"/>
          <w:sz w:val="32"/>
          <w:szCs w:val="32"/>
        </w:rPr>
        <w:t xml:space="preserve">第十六条 </w:t>
      </w:r>
      <w:r>
        <w:rPr>
          <w:rFonts w:ascii="仿宋_GB2312" w:hAnsi="仿宋_GB2312" w:cs="宋体;SimSun" w:hint="eastAsia" w:eastAsia="仿宋_GB2312"/>
          <w:sz w:val="32"/>
          <w:szCs w:val="32"/>
        </w:rPr>
        <w:t>市城区、各县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城镇建设与发展不得占用河道滩地，其规划建设的临河界线及定点，应由河道主管机关会同城镇规划等部门确定，其定点文件必须由河道主管机关参与会签。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在临河界线内修建民房和其他建筑设施的，必须事先征求河道主管机关意见。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河道管理与保护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县级以上人民政府应按下列规定确定河道护堤地：松花江、辉发河、饮马河、拉林河、卡岔河的堤防护堤地为迎水面</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米，背水面</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米；蛟河、拉法河、温德河、牛亡牛河、鳌龙河、团山河、金沙河、岔路河、细鳞河、霍伦河的护堤地为迎水面</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米，背水面</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米至</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米；其他河流河道护堤地可根据实际情况划定。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划定的护堤地由河道主管机关统一规划、使用和管理。</w:t>
      </w:r>
    </w:p>
    <w:p>
      <w:pPr>
        <w:pStyle w:val="Style15"/>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市城区松花江段河道堤防堤路结合段单式堤防堤肩</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岸缘</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以上道路、栏杆等市政设施及复式堤防戗台以上</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含戗台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部分的绿地、游园的养护、维修、绿化、卫生等，由市政建设主管部门按防洪要求和有关规定实施管理；堤肩</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岸缘</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或戗台以下河道滩地、林木、卫生等河道管理由河道主管机关负责。</w:t>
      </w:r>
    </w:p>
    <w:p>
      <w:pPr>
        <w:pStyle w:val="Style15"/>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经市人民政府批准，市河道主管机关应根据堤防的重要程度、堤基土质条件及河道水工程的安全需要，在松花江、辉发河、饮马河、拉林河、卡岔河的重要河段堤防的背水面护堤地以外一定区域内划定堤防安全保护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堤防安全保护区内禁止打井、钻探、爆破、采石、挖沙、取土和挖筑鱼塘等危害堤防安全的活动。</w:t>
      </w:r>
    </w:p>
    <w:p>
      <w:pPr>
        <w:pStyle w:val="Style15"/>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江河故道、旧堤及原有河道工程设施，未经河道主管机关批准，任何单位和个人不得填堵、占用或拆毁。</w:t>
      </w:r>
    </w:p>
    <w:p>
      <w:pPr>
        <w:pStyle w:val="Style15"/>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在河道内设置和扩大排污口的，排污单位在向环境保护部门申报前，应当征得河道主管机关的同意。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向河道排污造成河道淤积的，河道主管机关应责令排污口的设置单位进行清淤。</w:t>
      </w:r>
    </w:p>
    <w:p>
      <w:pPr>
        <w:pStyle w:val="Style15"/>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河道主管机关应定期对河道堤防进行巡查，清除鼠洞、蚁穴等隐患，及时修复片堤、滑坡等险段。</w:t>
      </w:r>
    </w:p>
    <w:p>
      <w:pPr>
        <w:pStyle w:val="Style15"/>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山区河道有山体滑坡、崩岸、泥石流等自然灾害的河段，河道主管机关应当会同有关部门加强监测。在上述河段，禁止从事开山采石、采矿、开荒等危及山体稳定的活动。</w:t>
      </w:r>
    </w:p>
    <w:p>
      <w:pPr>
        <w:pStyle w:val="Style15"/>
        <w:ind w:firstLineChars="200" w:startChars="0" w:start="0" w:endChars="0" w:end="0"/>
        <w:rPr/>
      </w:pP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在河道管理范围内占用河道</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不包括堤防、护堤地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进行下列活动的，必须按有关规定报经河道主管机关批准；涉及其他部门的，由河道主管机关会同有关部门批准：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采砂、取土、淘金；</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爆破、钻探、考古发掘、开采地下资源、修建上下堤坡道；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筑坝、挖井</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坑</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、挖筑鱼塘、修建游泳场、设置浮船和娱乐设施；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设置浮桥、栈桥、锚地、渡口和渡船；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设置作业机械设备、建筑设施、广告牌、堆放物料、摆摊设点；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其它占用河道行为。</w:t>
      </w:r>
    </w:p>
    <w:p>
      <w:pPr>
        <w:pStyle w:val="Style15"/>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临时占用河道的，必须按批准范围、方式、期限和安全要求作业，并应保护好河道工程设置和周围景观。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作业完毕应及时清理现场，需回填的按要求回填，并报河道主管机关验收。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按防洪或其他要求需终止作业时，作业单位和个人接到原批准部门通知后，应在规定期限内撤出。</w:t>
      </w:r>
    </w:p>
    <w:p>
      <w:pPr>
        <w:pStyle w:val="Style15"/>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禁止损坏河道堤防、护岸、涵闸、护栏、戗台、里程桩及通讯、照明、河道水文监测等工程设施。</w:t>
      </w:r>
    </w:p>
    <w:p>
      <w:pPr>
        <w:pStyle w:val="Style15"/>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禁止非河道管理人员操作河道上涵闸闸门、排涝泵站等防洪排涝设施；任何单位或个人不得干扰河道管理人员正常工作。</w:t>
      </w:r>
    </w:p>
    <w:p>
      <w:pPr>
        <w:pStyle w:val="Style15"/>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禁止在河道管理范围内进行下列活动：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修筑围堤、阻水渠道和阻水道路等建筑物；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修建厂房、仓库等工业和民用建筑物；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种植高杆农作物和树木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护堤护岸林除外</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设置拦河渔具；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弃置和倾倒矿渣、石渣、砂石、淤泥、煤灰、残土、垃圾等废物。</w:t>
      </w:r>
    </w:p>
    <w:p>
      <w:pPr>
        <w:pStyle w:val="Style15"/>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禁止在堤防和护堤地上开荒种地、放牧、堆放物料、晒粮、开展集市贸易、建房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堤防管理房除外</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、建窑、修渠、埋坟、取土、采石、打井、挖洞、开沟、爆破、挖筑鱼塘、开采地下资源、进行考古发掘以及其他影响河道、堤防安全等活动。</w:t>
      </w:r>
    </w:p>
    <w:p>
      <w:pPr>
        <w:pStyle w:val="Style15"/>
        <w:ind w:firstLineChars="200" w:startChars="0" w:start="0" w:endChars="0" w:end="0"/>
        <w:rPr/>
      </w:pPr>
      <w:r>
        <w:rPr>
          <w:rFonts w:ascii="黑体;SimHei" w:hAnsi="黑体;SimHei" w:cs="宋体;SimSun" w:hint="eastAsia" w:eastAsia="黑体;SimHei"/>
          <w:sz w:val="32"/>
          <w:szCs w:val="32"/>
        </w:rPr>
        <w:t xml:space="preserve">第三十条 </w:t>
      </w:r>
      <w:r>
        <w:rPr>
          <w:rFonts w:ascii="仿宋_GB2312" w:hAnsi="仿宋_GB2312" w:cs="宋体;SimSun" w:hint="eastAsia" w:eastAsia="仿宋_GB2312"/>
          <w:sz w:val="32"/>
          <w:szCs w:val="32"/>
        </w:rPr>
        <w:t>护堤林、护岸林由河道主管机关组织营造，实施管理，其它任何单位和个人不得侵占、砍伐和破坏。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堤坡上只准种植草皮或灌木，不得种植乔木。堤上已有的乔木，经河道主管机关决定，限期由林木所有者连根清除，并回填夯实；逾期不清除的，由河道主管机关负责清除，清除所需费用由林木所有者负担。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严禁攀折堤坡林木，破坏堤坡植被。</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河道清障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河道管理范围内的阻水障碍物，按照“谁设障，谁清除”的原则，由河道主管机关提出清障计划和实施方案，由防汛指挥部责令设障者在规定的期间内清除。逾期不清除的，由防汛指挥部组织强行清除，并由设障者负责全部清障费用。</w:t>
      </w:r>
    </w:p>
    <w:p>
      <w:pPr>
        <w:pStyle w:val="Style15"/>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对阻水严重的码头、道路、管线、缆线、输水渠、拦河坝和其他跨河工程设施，根据河道的防洪标准，由河道主管机关提出意见并报经同级人民政府批准，责成原建设单位在规定的期限内改建或者拆除。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对于阻水的桥梁，按规定的防洪标准，桥前壅水高度</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厘米至</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厘米的，由建设单位加高壅水回水范围内的两岸堤防；桥前壅水高度</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厘米以上的，由建设单位在规定的期限内改建。</w:t>
      </w:r>
    </w:p>
    <w:p>
      <w:pPr>
        <w:pStyle w:val="Style15"/>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经批准建设的各类跨河、临河、穿河等工程竣工验收前，必须按河道主管机关的要求清除施工残渣、引道、围堰、平整河床。不按要求清除的，由河道主管机关组织清除，由原建设单位负责全部清除费用。</w:t>
      </w:r>
    </w:p>
    <w:p>
      <w:pPr>
        <w:pStyle w:val="Style15"/>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在河道行洪区范围内，任何单位或个人不得擅自种植林木。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河道行洪区内已有的护堤林、护岸林、应按顺水流方向间伐成林带；其他已有的阻水林木，限期由营造者清除。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经  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河道堤防的防汛岁修费用，按照分级管理的原则，分别由市、县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、区财政负担，列入本级财政预算。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本市城区、各县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城镇段河道堤防的防汛岁修费应纳入城市维护费使用计划。</w:t>
      </w:r>
    </w:p>
    <w:p>
      <w:pPr>
        <w:pStyle w:val="Style15"/>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受益范围明确的堤防、护岸、水闸和排涝工程设施，河道主管机关可以向受益的工商企业等单位和个体工商户、农林户以及临时占用堤防、护岸、滩地、水面的单位和个人，收取河道工程修建维护管理费，收费的具体标准和计收办法按省人民政府规定执行。</w:t>
      </w:r>
    </w:p>
    <w:p>
      <w:pPr>
        <w:pStyle w:val="Style15"/>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在河道管理范围内，开采砂石、取土、淘金等作业的单位或个人，必须向河道主管机关缴纳管理费。其征收标准按《吉林省河道采砂收费管理实施细则》规定执行。</w:t>
      </w:r>
    </w:p>
    <w:p>
      <w:pPr>
        <w:pStyle w:val="Style15"/>
        <w:ind w:firstLineChars="200" w:startChars="0" w:start="0" w:endChars="0" w:end="0"/>
        <w:rPr/>
      </w:pPr>
      <w:r>
        <w:rPr>
          <w:rFonts w:ascii="黑体;SimHei" w:hAnsi="黑体;SimHei" w:cs="宋体;SimSun" w:hint="eastAsia" w:eastAsia="黑体;SimHei"/>
          <w:sz w:val="32"/>
          <w:szCs w:val="32"/>
        </w:rPr>
        <w:t xml:space="preserve">第三十八条 </w:t>
      </w:r>
      <w:r>
        <w:rPr>
          <w:rFonts w:ascii="仿宋_GB2312" w:hAnsi="仿宋_GB2312" w:cs="宋体;SimSun" w:hint="eastAsia" w:eastAsia="仿宋_GB2312"/>
          <w:sz w:val="32"/>
          <w:szCs w:val="32"/>
        </w:rPr>
        <w:t>河道主管机关收取的各项费用，用于河道堤防工程的建设、管理、维修和设施的更新改造。结余资金可以连年结转使用，任何单位和个人不得截取或者挪用。</w:t>
      </w:r>
    </w:p>
    <w:p>
      <w:pPr>
        <w:pStyle w:val="Style15"/>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、区人民政府应依据有关规定组织沿河城镇、农村及堤防保护区域内的单位和个人义务出工，对河道堤防工程进行维修加固及河道整治。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违反本条例的，由河道主管机关或会同有关部门按下列规定予以处罚；构成犯罪的，依法追究刑事责任。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违反第十条、第十二条规定，未经批准或未按国家规定的防洪标准修建工程设施的，责令其改正，并处以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元罚款。对有关责任人员，由其所在单位或上级主管部门给予行政处分。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违反第十一条第四款规定，逾期不清淤和不恢复植被的，处以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元罚款，并由河道主管机关组织清淤，恢复植被，所需费用由建设单位或个人全部承担。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违反第十九条第二款规定，在堤防安全保护区内打井、钻探、爆破、采石、取土、挖筑鱼塘的，除责令其停止违法行为，采取补救措施外，并处以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违反第二十四条第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项规定，除责令其停止违法行为外，对未经批准，在河道管理范围内采砂、取土、淘金的，没收其非法收入，并对采砂、取土的按每立方米</w:t>
      </w:r>
      <w:r>
        <w:rPr>
          <w:rFonts w:eastAsia="仿宋_GB2312" w:cs="宋体;SimSun" w:hint="eastAsia" w:ascii="仿宋_GB2312" w:hAnsi="仿宋_GB2312"/>
          <w:sz w:val="32"/>
          <w:szCs w:val="32"/>
        </w:rPr>
        <w:t>5—10</w:t>
      </w:r>
      <w:r>
        <w:rPr>
          <w:rFonts w:ascii="仿宋_GB2312" w:hAnsi="仿宋_GB2312" w:cs="宋体;SimSun" w:hint="eastAsia" w:eastAsia="仿宋_GB2312"/>
          <w:sz w:val="32"/>
          <w:szCs w:val="32"/>
        </w:rPr>
        <w:t>元处以罚款；淘金的按采剥每立方米</w:t>
      </w:r>
      <w:r>
        <w:rPr>
          <w:rFonts w:eastAsia="仿宋_GB2312" w:cs="宋体;SimSun" w:hint="eastAsia" w:ascii="仿宋_GB2312" w:hAnsi="仿宋_GB2312"/>
          <w:sz w:val="32"/>
          <w:szCs w:val="32"/>
        </w:rPr>
        <w:t>0.2</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0.5</w:t>
      </w:r>
      <w:r>
        <w:rPr>
          <w:rFonts w:ascii="仿宋_GB2312" w:hAnsi="仿宋_GB2312" w:cs="宋体;SimSun" w:hint="eastAsia" w:eastAsia="仿宋_GB2312"/>
          <w:sz w:val="32"/>
          <w:szCs w:val="32"/>
        </w:rPr>
        <w:t>元处以罚款。对不按批准的范围和方式进行采砂、取土、淘金的，没收其非法所得，并对采砂、取土的按每立方米</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元处以罚款；淘金的按采剥每立方米</w:t>
      </w:r>
      <w:r>
        <w:rPr>
          <w:rFonts w:eastAsia="仿宋_GB2312" w:cs="宋体;SimSun" w:hint="eastAsia" w:ascii="仿宋_GB2312" w:hAnsi="仿宋_GB2312"/>
          <w:sz w:val="32"/>
          <w:szCs w:val="32"/>
        </w:rPr>
        <w:t>0.1</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0.2</w:t>
      </w:r>
      <w:r>
        <w:rPr>
          <w:rFonts w:ascii="仿宋_GB2312" w:hAnsi="仿宋_GB2312" w:cs="宋体;SimSun" w:hint="eastAsia" w:eastAsia="仿宋_GB2312"/>
          <w:sz w:val="32"/>
          <w:szCs w:val="32"/>
        </w:rPr>
        <w:t>元处以罚款；对拒不改正的加倍予以罚款，并吊销其采砂</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取土、淘金</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违反第二十四条第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项规定的，除责令其停止违法行为外，并按每平方米每日</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元处以罚款。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违反第二十六条规定，损坏堤防、护岸、闸坝等水工程建筑物及附属设施的，处以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元罚款，后果严重的处以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元罚款；损坏通讯、照明、水文监测的，处以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元以下罚款，后果严重的处以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违反第二十七条规定，非河道管理人员干扰河道管理工作，经批评教育拒不改正的，处以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违反第二十八条规定，除责令其停止违法行为，采取补救措施外，对修建围堤、阻水渠道、阻水道路的，处以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元罚款；修建厂房、仓库等公用和民用建筑物的，处以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元罚款；种植高杆农作物和树木，设置拦河渔具的，处以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元以下罚款；弃置和倾倒矿渣、石渣、砂石、淤泥、煤灰、残土、垃圾等废物的，责令其清除，并处以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违反第二十九条规定，在堤防和护堤地上开荒种地、放牧、晒粮、堆放杂物、进行集市贸易活动的，处以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元以下罚款；建窑、修渠、钻探、打井、采石、取土、挖沟、埋坟的，处以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元罚款；爆破、开采地下资源、挖筑鱼塘的，处以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元罚款；造成损失的，责令其赔偿损失。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违反第三十条规定，滥伐、盗伐、破坏护堤护岸林木的，没收非法所得，赔偿毁林损失，并按所砍伐林木价格的五倍至十倍处以罚款。</w:t>
      </w:r>
    </w:p>
    <w:p>
      <w:pPr>
        <w:pStyle w:val="Style15"/>
        <w:ind w:firstLineChars="200" w:startChars="0" w:start="0" w:endChars="0" w:end="0"/>
        <w:rPr/>
      </w:pPr>
      <w:r>
        <w:rPr>
          <w:rFonts w:ascii="黑体;SimHei" w:hAnsi="黑体;SimHei" w:cs="宋体;SimSun" w:hint="eastAsia" w:eastAsia="黑体;SimHei"/>
          <w:sz w:val="32"/>
          <w:szCs w:val="32"/>
        </w:rPr>
        <w:t xml:space="preserve">第四十一条 </w:t>
      </w:r>
      <w:r>
        <w:rPr>
          <w:rFonts w:ascii="仿宋_GB2312" w:hAnsi="仿宋_GB2312" w:cs="宋体;SimSun" w:hint="eastAsia" w:eastAsia="仿宋_GB2312"/>
          <w:sz w:val="32"/>
          <w:szCs w:val="32"/>
        </w:rPr>
        <w:t>当事人对行政处罚决定不服的，可以在接到处罚通知之日起十五日内，向作出处罚决定机关的上一级行政机关申请复议，复议机关应在接到复议申请之日起三十日内作出复议决定。对复议决定不服的，可在接到复议决定之日起十五日内，向人民法院起诉。</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当事人也可以在接到处罚通知十五日内，直接向人民法院起诉。当事人逾期不申请复议或者不向人民法院起诉又不履行处罚决定的，由作出处罚决定的机关申请人民法院强制执行。</w:t>
      </w:r>
    </w:p>
    <w:p>
      <w:pPr>
        <w:pStyle w:val="Style15"/>
        <w:ind w:firstLineChars="1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河道管理人员应守职尽责，模范遵守本条例。对不认真履行工作职责、滥用职权、徇私舞弊的，按其情节由所在单位上级主管部门给予行政处分或经济处罚；构成犯罪的，依法追究刑事责任。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5"/>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本条例由吉林市人民代表大会常务委员会负责解释。</w:t>
      </w:r>
    </w:p>
    <w:p>
      <w:pPr>
        <w:pStyle w:val="Style15"/>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本条例自公布之日起施行。一九九三年九月十一日颁布的《吉林市市区松花江河道管理条例》同时废止。</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2017-03-16T10:22:00Z</dcterms:created>
  <dc:creator>admin</dc:creator>
  <dc:description/>
  <cp:keywords/>
  <dc:language>en-US</dc:language>
  <cp:lastModifiedBy>admin</cp:lastModifiedBy>
  <dcterms:modified xsi:type="dcterms:W3CDTF">2017-03-16T15:40:00Z</dcterms:modified>
  <cp:revision>4</cp:revision>
  <dc:subject/>
  <dc:title>吉林市河道管理条例</dc:title>
</cp:coreProperties>
</file>