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Arial" w:hint="eastAsia"/>
          <w:kern w:val="0"/>
          <w:szCs w:val="32"/>
        </w:rPr>
      </w:pPr>
      <w:r>
        <w:rPr>
          <w:rFonts w:cs="Arial" w:hint="eastAsia" w:ascii="宋体" w:hAnsi="宋体"/>
          <w:kern w:val="0"/>
          <w:szCs w:val="32"/>
        </w:rPr>
      </w:r>
    </w:p>
    <w:p>
      <w:pPr>
        <w:pStyle w:val="Normal"/>
        <w:rPr>
          <w:rFonts w:ascii="宋体" w:hAnsi="宋体" w:cs="Arial" w:hint="eastAsia"/>
          <w:kern w:val="0"/>
          <w:szCs w:val="32"/>
        </w:rPr>
      </w:pPr>
      <w:r>
        <w:rPr>
          <w:rFonts w:cs="Arial" w:hint="eastAsia" w:ascii="宋体" w:hAnsi="宋体"/>
          <w:kern w:val="0"/>
          <w:szCs w:val="32"/>
        </w:rPr>
      </w:r>
    </w:p>
    <w:p>
      <w:pPr>
        <w:pStyle w:val="Normal"/>
        <w:jc w:val="center"/>
        <w:rPr>
          <w:rFonts w:ascii="宋体" w:hAnsi="宋体" w:eastAsia="宋体" w:cs="Arial" w:hint="eastAsia"/>
          <w:bCs/>
          <w:sz w:val="44"/>
          <w:szCs w:val="44"/>
        </w:rPr>
      </w:pPr>
      <w:r>
        <w:rPr>
          <w:rFonts w:ascii="宋体" w:hAnsi="宋体" w:cs="Arial" w:hint="eastAsia" w:eastAsia="宋体"/>
          <w:bCs/>
          <w:sz w:val="44"/>
          <w:szCs w:val="44"/>
        </w:rPr>
        <w:t>吉林</w:t>
      </w:r>
      <w:r>
        <w:rPr>
          <w:rFonts w:ascii="宋体" w:hAnsi="宋体" w:cs="Arial" w:eastAsia="宋体"/>
          <w:bCs/>
          <w:sz w:val="44"/>
          <w:szCs w:val="44"/>
        </w:rPr>
        <w:t>省</w:t>
      </w:r>
      <w:r>
        <w:rPr>
          <w:rFonts w:ascii="宋体" w:hAnsi="宋体" w:cs="Arial" w:hint="eastAsia" w:eastAsia="宋体"/>
          <w:bCs/>
          <w:sz w:val="44"/>
          <w:szCs w:val="44"/>
        </w:rPr>
        <w:t>铁路安全管理</w:t>
      </w:r>
      <w:r>
        <w:rPr>
          <w:rFonts w:ascii="宋体" w:hAnsi="宋体" w:cs="Arial" w:eastAsia="宋体"/>
          <w:bCs/>
          <w:sz w:val="44"/>
          <w:szCs w:val="44"/>
        </w:rPr>
        <w:t>条例</w:t>
      </w:r>
    </w:p>
    <w:p>
      <w:pPr>
        <w:pStyle w:val="Normal"/>
        <w:ind w:firstLineChars="200" w:startChars="0" w:start="0" w:endChars="0" w:end="0"/>
        <w:rPr>
          <w:rFonts w:ascii="宋体" w:hAnsi="宋体" w:eastAsia="宋体" w:cs="Arial" w:hint="eastAsia"/>
          <w:bCs/>
          <w:sz w:val="44"/>
          <w:szCs w:val="32"/>
        </w:rPr>
      </w:pPr>
      <w:r>
        <w:rPr>
          <w:rFonts w:eastAsia="宋体" w:cs="Arial" w:hint="eastAsia" w:ascii="宋体" w:hAnsi="宋体"/>
          <w:bCs/>
          <w:sz w:val="44"/>
          <w:szCs w:val="32"/>
        </w:rPr>
      </w:r>
    </w:p>
    <w:p>
      <w:pPr>
        <w:pStyle w:val="Normal"/>
        <w:ind w:hangingChars="50" w:startChars="200" w:endChars="168"/>
        <w:rPr>
          <w:rFonts w:ascii="仿宋_GB2312;仿宋" w:hAnsi="仿宋_GB2312;仿宋" w:cs="Arial" w:hint="eastAsia"/>
          <w:szCs w:val="32"/>
        </w:rPr>
      </w:pPr>
      <w:r>
        <w:rPr>
          <w:rFonts w:ascii="楷体_GB2312;楷体" w:hAnsi="楷体_GB2312;楷体" w:cs="Arial" w:hint="eastAsia" w:eastAsia="楷体_GB2312;楷体"/>
          <w:szCs w:val="32"/>
        </w:rPr>
        <w:t>（</w:t>
      </w:r>
      <w:r>
        <w:rPr>
          <w:rFonts w:eastAsia="楷体_GB2312;楷体" w:hint="eastAsia" w:ascii="楷体_GB2312;楷体" w:hAnsi="楷体_GB2312;楷体"/>
          <w:szCs w:val="32"/>
        </w:rPr>
        <w:t>2021</w:t>
      </w:r>
      <w:r>
        <w:rPr>
          <w:rFonts w:ascii="楷体_GB2312;楷体" w:hAnsi="楷体_GB2312;楷体" w:hint="eastAsia" w:eastAsia="楷体_GB2312;楷体"/>
          <w:szCs w:val="32"/>
        </w:rPr>
        <w:t>年</w:t>
      </w:r>
      <w:r>
        <w:rPr>
          <w:rFonts w:eastAsia="楷体_GB2312;楷体" w:hint="eastAsia" w:ascii="楷体_GB2312;楷体" w:hAnsi="楷体_GB2312;楷体"/>
          <w:szCs w:val="32"/>
        </w:rPr>
        <w:t>5</w:t>
      </w:r>
      <w:r>
        <w:rPr>
          <w:rFonts w:ascii="楷体_GB2312;楷体" w:hAnsi="楷体_GB2312;楷体" w:hint="eastAsia" w:eastAsia="楷体_GB2312;楷体"/>
          <w:szCs w:val="32"/>
        </w:rPr>
        <w:t>月</w:t>
      </w:r>
      <w:r>
        <w:rPr>
          <w:rFonts w:eastAsia="楷体_GB2312;楷体" w:hint="eastAsia" w:ascii="楷体_GB2312;楷体" w:hAnsi="楷体_GB2312;楷体"/>
          <w:szCs w:val="32"/>
        </w:rPr>
        <w:t>27</w:t>
      </w:r>
      <w:r>
        <w:rPr>
          <w:rFonts w:ascii="楷体_GB2312;楷体" w:hAnsi="楷体_GB2312;楷体" w:cs="Arial" w:hint="eastAsia" w:eastAsia="楷体_GB2312;楷体"/>
          <w:szCs w:val="32"/>
        </w:rPr>
        <w:t>日吉林省第十三届人民代表大会常务委员会第二十八次会议通过）</w:t>
      </w:r>
    </w:p>
    <w:p>
      <w:pPr>
        <w:pStyle w:val="Normal"/>
        <w:rPr>
          <w:rFonts w:ascii="宋体" w:hAnsi="宋体" w:eastAsia="宋体" w:cs="宋体" w:hint="eastAsia"/>
          <w:szCs w:val="32"/>
        </w:rPr>
      </w:pPr>
      <w:r>
        <w:rPr>
          <w:rFonts w:eastAsia="宋体" w:cs="宋体" w:hint="eastAsia" w:ascii="宋体" w:hAnsi="宋体"/>
          <w:szCs w:val="32"/>
        </w:rPr>
      </w:r>
    </w:p>
    <w:p>
      <w:pPr>
        <w:pStyle w:val="Normal"/>
        <w:jc w:val="center"/>
        <w:rPr>
          <w:rFonts w:ascii="楷体_GB2312;楷体" w:hAnsi="楷体_GB2312;楷体" w:eastAsia="楷体_GB2312;楷体" w:cs="Arial" w:hint="eastAsia"/>
          <w:szCs w:val="32"/>
        </w:rPr>
      </w:pPr>
      <w:r>
        <w:rPr>
          <w:rFonts w:ascii="楷体_GB2312;楷体" w:hAnsi="楷体_GB2312;楷体" w:cs="Arial" w:hint="eastAsia" w:eastAsia="楷体_GB2312;楷体"/>
          <w:szCs w:val="32"/>
        </w:rPr>
        <w:t>目  录</w:t>
      </w:r>
    </w:p>
    <w:p>
      <w:pPr>
        <w:pStyle w:val="Normal"/>
        <w:ind w:firstLineChars="0" w:firstLine="0" w:startChars="309" w:endChars="0" w:end="0"/>
        <w:rPr/>
      </w:pP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第一章　总则</w:t>
      </w:r>
      <w:r>
        <w:rPr>
          <w:rStyle w:val="Hyperlink"/>
          <w:rFonts w:ascii="楷体_GB2312;楷体" w:hAnsi="楷体_GB2312;楷体" w:cs="Arial" w:hint="eastAsia" w:eastAsia="楷体_GB2312;楷体"/>
          <w:color w:val="000000"/>
          <w:sz w:val="32"/>
          <w:szCs w:val="32"/>
        </w:rPr>
        <w:fldChar w:fldCharType="end"/>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第二章　铁</w:t>
      </w:r>
      <w:r>
        <w:rPr>
          <w:rStyle w:val="Hyperlink"/>
          <w:rFonts w:ascii="楷体_GB2312;楷体" w:hAnsi="楷体_GB2312;楷体" w:cs="Arial" w:hint="eastAsia" w:eastAsia="楷体_GB2312;楷体"/>
          <w:color w:val="000000"/>
          <w:sz w:val="32"/>
          <w:szCs w:val="32"/>
        </w:rPr>
        <w:fldChar w:fldCharType="end"/>
      </w:r>
      <w:r>
        <w:rPr>
          <w:rFonts w:ascii="楷体_GB2312;楷体" w:hAnsi="楷体_GB2312;楷体" w:cs="Arial" w:hint="eastAsia" w:eastAsia="楷体_GB2312;楷体"/>
          <w:szCs w:val="32"/>
        </w:rPr>
        <w:t>路线路安全</w:t>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第三章　铁</w:t>
      </w:r>
      <w:r>
        <w:rPr>
          <w:rStyle w:val="Hyperlink"/>
          <w:rFonts w:ascii="楷体_GB2312;楷体" w:hAnsi="楷体_GB2312;楷体" w:cs="Arial" w:hint="eastAsia" w:eastAsia="楷体_GB2312;楷体"/>
          <w:color w:val="000000"/>
          <w:sz w:val="32"/>
          <w:szCs w:val="32"/>
        </w:rPr>
        <w:fldChar w:fldCharType="end"/>
      </w:r>
      <w:r>
        <w:rPr>
          <w:rFonts w:ascii="楷体_GB2312;楷体" w:hAnsi="楷体_GB2312;楷体" w:cs="Arial" w:hint="eastAsia" w:eastAsia="楷体_GB2312;楷体"/>
          <w:szCs w:val="32"/>
        </w:rPr>
        <w:t>路运营安全</w:t>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第四章　法</w:t>
      </w:r>
      <w:r>
        <w:rPr>
          <w:rStyle w:val="Hyperlink"/>
          <w:rFonts w:ascii="楷体_GB2312;楷体" w:hAnsi="楷体_GB2312;楷体" w:cs="Arial" w:hint="eastAsia" w:eastAsia="楷体_GB2312;楷体"/>
          <w:color w:val="000000"/>
          <w:sz w:val="32"/>
          <w:szCs w:val="32"/>
        </w:rPr>
        <w:fldChar w:fldCharType="end"/>
      </w:r>
      <w:r>
        <w:rPr>
          <w:rFonts w:ascii="楷体_GB2312;楷体" w:hAnsi="楷体_GB2312;楷体" w:cs="Arial" w:hint="eastAsia" w:eastAsia="楷体_GB2312;楷体"/>
          <w:szCs w:val="32"/>
        </w:rPr>
        <w:t>律责任</w:t>
      </w:r>
      <w:r>
        <w:rPr>
          <w:rFonts w:eastAsia="楷体_GB2312;楷体" w:cs="Arial" w:hint="eastAsia" w:ascii="楷体_GB2312;楷体" w:hAnsi="楷体_GB2312;楷体"/>
          <w:szCs w:val="32"/>
        </w:rPr>
        <w:br/>
      </w: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第五章　附</w:t>
      </w:r>
      <w:r>
        <w:rPr>
          <w:rStyle w:val="Hyperlink"/>
          <w:rFonts w:ascii="楷体_GB2312;楷体" w:hAnsi="楷体_GB2312;楷体" w:cs="Arial" w:hint="eastAsia" w:eastAsia="楷体_GB2312;楷体"/>
          <w:color w:val="000000"/>
          <w:sz w:val="32"/>
          <w:szCs w:val="32"/>
        </w:rPr>
        <w:fldChar w:fldCharType="end"/>
      </w:r>
      <w:r>
        <w:rPr>
          <w:rFonts w:ascii="楷体_GB2312;楷体" w:hAnsi="楷体_GB2312;楷体" w:cs="Arial" w:hint="eastAsia" w:eastAsia="楷体_GB2312;楷体"/>
          <w:szCs w:val="32"/>
        </w:rPr>
        <w:t>则</w:t>
      </w:r>
      <w:r>
        <w:rPr>
          <w:rFonts w:eastAsia="楷体_GB2312;楷体" w:cs="Arial" w:hint="eastAsia" w:ascii="楷体_GB2312;楷体" w:hAnsi="楷体_GB2312;楷体"/>
          <w:szCs w:val="32"/>
        </w:rPr>
        <w:br/>
      </w:r>
    </w:p>
    <w:p>
      <w:pPr>
        <w:pStyle w:val="Normal"/>
        <w:widowControl/>
        <w:numPr>
          <w:ilvl w:val="0"/>
          <w:numId w:val="2"/>
        </w:numPr>
        <w:tabs>
          <w:tab w:val="clear" w:pos="420"/>
          <w:tab w:val="left" w:pos="1215" w:leader="none"/>
        </w:tabs>
        <w:spacing w:lineRule="atLeast" w:line="300"/>
        <w:jc w:val="center"/>
        <w:rPr>
          <w:rFonts w:ascii="黑体" w:hAnsi="黑体" w:eastAsia="黑体" w:cs="Arial" w:hint="eastAsia"/>
          <w:bCs/>
          <w:kern w:val="0"/>
          <w:szCs w:val="32"/>
        </w:rPr>
      </w:pPr>
      <w:bookmarkStart w:id="0" w:name="%231"/>
      <w:r>
        <w:rPr>
          <w:rFonts w:ascii="黑体" w:hAnsi="黑体" w:cs="Arial" w:hint="eastAsia" w:eastAsia="黑体"/>
          <w:bCs/>
          <w:kern w:val="0"/>
          <w:szCs w:val="32"/>
        </w:rPr>
        <w:t>总则</w:t>
      </w:r>
    </w:p>
    <w:p>
      <w:pPr>
        <w:pStyle w:val="Normal"/>
        <w:widowControl/>
        <w:spacing w:lineRule="atLeast" w:line="300"/>
        <w:ind w:firstLineChars="200" w:startChars="0" w:start="0" w:endChars="0" w:end="0"/>
        <w:rPr>
          <w:rFonts w:ascii="仿宋_GB2312;仿宋" w:hAnsi="仿宋_GB2312;仿宋" w:eastAsia="黑体" w:cs="Arial" w:hint="eastAsia"/>
          <w:bCs/>
          <w:kern w:val="0"/>
          <w:szCs w:val="32"/>
        </w:rPr>
      </w:pPr>
      <w:r>
        <w:rPr>
          <w:rFonts w:eastAsia="黑体" w:cs="Arial" w:hint="eastAsia" w:ascii="仿宋_GB2312;仿宋" w:hAnsi="仿宋_GB2312;仿宋"/>
          <w:bCs/>
          <w:kern w:val="0"/>
          <w:szCs w:val="32"/>
        </w:rPr>
      </w:r>
      <w:bookmarkStart w:id="1" w:name="%23go1"/>
      <w:bookmarkEnd w:id="0"/>
    </w:p>
    <w:p>
      <w:pPr>
        <w:pStyle w:val="Normal"/>
        <w:widowControl/>
        <w:spacing w:lineRule="atLeast" w:line="300"/>
        <w:ind w:firstLineChars="200" w:startChars="0" w:start="0" w:endChars="0" w:end="0"/>
        <w:rPr>
          <w:rFonts w:ascii="仿宋_GB2312;仿宋" w:hAnsi="仿宋_GB2312;仿宋" w:cs="Arial" w:hint="eastAsia"/>
          <w:kern w:val="0"/>
          <w:szCs w:val="32"/>
        </w:rPr>
      </w:pPr>
      <w:r>
        <w:rPr>
          <w:rFonts w:ascii="黑体" w:hAnsi="黑体" w:cs="Arial" w:hint="eastAsia" w:eastAsia="黑体"/>
          <w:kern w:val="0"/>
          <w:szCs w:val="32"/>
        </w:rPr>
        <w:t>第一条</w:t>
      </w:r>
      <w:r>
        <w:rPr>
          <w:rFonts w:ascii="仿宋_GB2312;仿宋" w:hAnsi="仿宋_GB2312;仿宋" w:cs="Arial" w:hint="eastAsia"/>
          <w:kern w:val="0"/>
          <w:szCs w:val="32"/>
        </w:rPr>
        <w:t>　</w:t>
      </w:r>
      <w:bookmarkEnd w:id="1"/>
      <w:r>
        <w:rPr>
          <w:rFonts w:ascii="仿宋_GB2312;仿宋" w:hAnsi="仿宋_GB2312;仿宋" w:cs="Arial" w:hint="eastAsia"/>
          <w:kern w:val="0"/>
          <w:szCs w:val="32"/>
        </w:rPr>
        <w:t xml:space="preserve">为加强铁路安全管理，保障铁路运输安全和畅通，预防铁路交通事故发生，保护人民群众人身和财产安全，依据《中华人民共和国铁路法》《铁路安全管理条例》等法律、法规，结合本省实际，制定本条例。 </w:t>
      </w:r>
      <w:bookmarkStart w:id="2" w:name="%23go3"/>
      <w:r>
        <w:rPr>
          <w:rFonts w:ascii="仿宋_GB2312;仿宋" w:hAnsi="仿宋_GB2312;仿宋" w:cs="Arial" w:hint="eastAsia"/>
          <w:kern w:val="0"/>
          <w:szCs w:val="32"/>
        </w:rPr>
        <w:t xml:space="preserve"> </w:t>
      </w:r>
      <w:bookmarkStart w:id="3" w:name="%23go5"/>
      <w:bookmarkEnd w:id="2"/>
    </w:p>
    <w:p>
      <w:pPr>
        <w:pStyle w:val="2"/>
        <w:bidi w:val="0"/>
        <w:rPr>
          <w:rFonts w:hint="eastAsia"/>
        </w:rPr>
      </w:pPr>
      <w:r>
        <w:rPr>
          <w:rFonts w:hint="eastAsia"/>
        </w:rPr>
        <w:t>省人民政府负责统筹本行政区域内铁路安全管理相关工作，协调解决铁路安全管理的重大问题，将铁路护路联防工作经费列入财政预算。</w:t>
      </w:r>
    </w:p>
    <w:p>
      <w:pPr>
        <w:pStyle w:val="2"/>
        <w:bidi w:val="0"/>
        <w:rPr>
          <w:rFonts w:hint="eastAsia"/>
        </w:rPr>
      </w:pPr>
      <w:r>
        <w:rPr>
          <w:rFonts w:hint="eastAsia"/>
        </w:rPr>
        <w:t>铁路沿线县级以上人民政府负责本行政区域内铁路用地范围外的铁路安全管理工作，将其纳入当地安全生产、综合治理和平安建设范围，并给予必要的经费支持。</w:t>
      </w:r>
    </w:p>
    <w:p>
      <w:pPr>
        <w:pStyle w:val="2"/>
        <w:bidi w:val="0"/>
        <w:rPr>
          <w:rFonts w:hint="eastAsia"/>
        </w:rPr>
      </w:pPr>
      <w:r>
        <w:rPr>
          <w:rFonts w:hint="eastAsia"/>
        </w:rPr>
        <w:t>铁路沿线乡（镇）人民政府、街道办事处应当协助有关部门和单位做好铁路沿线安全管理工作，落实铁路护路联防责任制。</w:t>
      </w:r>
    </w:p>
    <w:p>
      <w:pPr>
        <w:pStyle w:val="2"/>
        <w:bidi w:val="0"/>
        <w:rPr>
          <w:rFonts w:hint="eastAsia"/>
        </w:rPr>
      </w:pPr>
      <w:r>
        <w:rPr>
          <w:rFonts w:hint="eastAsia"/>
        </w:rPr>
        <w:t>县级以上人民政府有关部门按照各自职责，防范和制止危害铁路安全的行为，做好保障铁路安全相关工作。</w:t>
      </w:r>
    </w:p>
    <w:p>
      <w:pPr>
        <w:pStyle w:val="2"/>
        <w:bidi w:val="0"/>
        <w:rPr>
          <w:rFonts w:hint="eastAsia"/>
        </w:rPr>
      </w:pPr>
      <w:r>
        <w:rPr>
          <w:rFonts w:hint="eastAsia"/>
        </w:rPr>
        <w:t>县级以上人民政府有关部门在监督检查中发现影响铁路安全的事故隐患，属于职责范围内的，应当依法责令有关单位或者个人立即排除；不属于职责范围内的，应当及时通报铁路运输企业或者铁路监督管理机构依法处理。</w:t>
      </w:r>
    </w:p>
    <w:p>
      <w:pPr>
        <w:pStyle w:val="2"/>
        <w:bidi w:val="0"/>
        <w:rPr>
          <w:rFonts w:ascii="仿宋_GB2312;仿宋" w:hAnsi="仿宋_GB2312;仿宋" w:cs="Arial" w:hint="eastAsia"/>
          <w:kern w:val="0"/>
          <w:szCs w:val="32"/>
        </w:rPr>
      </w:pPr>
      <w:r>
        <w:rPr>
          <w:rFonts w:ascii="仿宋_GB2312;仿宋" w:hAnsi="仿宋_GB2312;仿宋" w:cs="Arial" w:hint="eastAsia"/>
          <w:kern w:val="0"/>
          <w:szCs w:val="32"/>
        </w:rPr>
        <w:t>铁路监督管理机构依法履行铁路安全监督管理职责。</w:t>
      </w:r>
    </w:p>
    <w:p>
      <w:pPr>
        <w:pStyle w:val="2"/>
        <w:bidi w:val="0"/>
        <w:rPr>
          <w:rFonts w:ascii="仿宋_GB2312;仿宋" w:hAnsi="仿宋_GB2312;仿宋" w:cs="Arial" w:hint="eastAsia"/>
          <w:kern w:val="0"/>
          <w:szCs w:val="32"/>
        </w:rPr>
      </w:pPr>
      <w:r>
        <w:rPr>
          <w:rFonts w:ascii="仿宋_GB2312;仿宋" w:hAnsi="仿宋_GB2312;仿宋" w:cs="Arial" w:hint="eastAsia"/>
          <w:kern w:val="0"/>
          <w:szCs w:val="32"/>
        </w:rPr>
        <w:t>铁路消防行政主管部门依法履行铁路消防监督管理职责，督促铁路运输企业落实消防安全措施、消除火灾事故隐患。</w:t>
      </w:r>
    </w:p>
    <w:p>
      <w:pPr>
        <w:pStyle w:val="2"/>
        <w:bidi w:val="0"/>
        <w:rPr>
          <w:rFonts w:ascii="仿宋_GB2312;仿宋" w:hAnsi="仿宋_GB2312;仿宋" w:cs="Arial" w:hint="eastAsia"/>
          <w:kern w:val="0"/>
          <w:szCs w:val="32"/>
        </w:rPr>
      </w:pPr>
      <w:r>
        <w:rPr>
          <w:rStyle w:val="1Char"/>
          <w:rFonts w:hint="eastAsia"/>
        </w:rPr>
        <w:t xml:space="preserve"> </w:t>
      </w:r>
      <w:r>
        <w:rPr>
          <w:rFonts w:ascii="仿宋_GB2312;仿宋" w:hAnsi="仿宋_GB2312;仿宋" w:cs="Arial" w:hint="eastAsia"/>
          <w:kern w:val="0"/>
          <w:szCs w:val="32"/>
        </w:rPr>
        <w:t>铁路运输企业应当建立健全安全生产管理制度和安全保障资金投入机制，落实企业安全生产主体责任，负责铁路用地范围内的铁路安全管理工作，接受铁路监督管理机构的监督管理，协助所在地人民政府及其有关部门的铁路安全管理工作。</w:t>
      </w:r>
    </w:p>
    <w:p>
      <w:pPr>
        <w:pStyle w:val="2"/>
        <w:bidi w:val="0"/>
        <w:rPr>
          <w:rFonts w:ascii="仿宋_GB2312;仿宋" w:hAnsi="仿宋_GB2312;仿宋" w:cs="Arial" w:hint="eastAsia"/>
          <w:kern w:val="0"/>
          <w:szCs w:val="32"/>
        </w:rPr>
      </w:pPr>
      <w:r>
        <w:rPr>
          <w:rFonts w:ascii="仿宋_GB2312;仿宋" w:hAnsi="仿宋_GB2312;仿宋" w:cs="Arial" w:hint="eastAsia"/>
          <w:kern w:val="0"/>
          <w:szCs w:val="32"/>
        </w:rPr>
        <w:t>铁路沿线应当根据管理需要合理划分路段，实行“双段长”工作责任制。铁路沿线乡（镇）人民政府（街道办事处）和铁路运输企业各指定一名相关负责人作为段长，建立协作配合机制，负责组织巡查、会商、上报信息等工作，及时排查处置影响铁路安全的问题。</w:t>
      </w:r>
    </w:p>
    <w:p>
      <w:pPr>
        <w:pStyle w:val="2"/>
        <w:bidi w:val="0"/>
        <w:rPr>
          <w:rFonts w:ascii="仿宋_GB2312;仿宋" w:hAnsi="仿宋_GB2312;仿宋" w:cs="Arial" w:hint="eastAsia"/>
          <w:kern w:val="0"/>
          <w:szCs w:val="32"/>
        </w:rPr>
      </w:pPr>
      <w:r>
        <w:rPr>
          <w:rFonts w:ascii="仿宋_GB2312;仿宋" w:hAnsi="仿宋_GB2312;仿宋" w:cs="Arial" w:hint="eastAsia"/>
          <w:kern w:val="0"/>
          <w:szCs w:val="32"/>
        </w:rPr>
        <w:t>铁路沿线各级人民政府有关部门应当落实普法责任制，加强保障铁路安全有关法律、法规和安全生产知识的宣传教育，增强安全防护意识，防范危害铁路安全的行为。</w:t>
      </w:r>
    </w:p>
    <w:p>
      <w:pPr>
        <w:pStyle w:val="2"/>
        <w:bidi w:val="0"/>
        <w:rPr>
          <w:rFonts w:ascii="仿宋_GB2312;仿宋" w:hAnsi="仿宋_GB2312;仿宋" w:cs="Arial" w:hint="eastAsia"/>
          <w:kern w:val="0"/>
          <w:szCs w:val="32"/>
        </w:rPr>
      </w:pPr>
      <w:r>
        <w:rPr>
          <w:rFonts w:ascii="仿宋_GB2312;仿宋" w:hAnsi="仿宋_GB2312;仿宋" w:cs="Arial" w:hint="eastAsia"/>
          <w:kern w:val="0"/>
          <w:szCs w:val="32"/>
        </w:rPr>
        <w:t>任何单位或者个人发现损坏或者非法占用铁路设施设备、标识标志、铁路用地以及其他影响铁路安全的行为，有权报告铁路运输企业，或者向铁路监督管理机构、公安机关或者其他有关部门举报。接到报告的铁路运输企业、接到举报的部门应当根据各自职责及时处理。</w:t>
      </w:r>
    </w:p>
    <w:p>
      <w:pPr>
        <w:pStyle w:val="Normal"/>
        <w:widowControl/>
        <w:spacing w:lineRule="atLeast" w:line="300"/>
        <w:rPr>
          <w:rFonts w:ascii="仿宋_GB2312;仿宋" w:hAnsi="仿宋_GB2312;仿宋" w:cs="Arial" w:hint="eastAsia"/>
          <w:kern w:val="0"/>
          <w:szCs w:val="32"/>
        </w:rPr>
      </w:pPr>
      <w:r>
        <w:rPr>
          <w:rFonts w:ascii="仿宋_GB2312;仿宋" w:hAnsi="仿宋_GB2312;仿宋" w:cs="Arial" w:hint="eastAsia"/>
          <w:kern w:val="0"/>
          <w:szCs w:val="32"/>
        </w:rPr>
        <w:t>铁路运输企业、铁路监督管理机构、公安机关以及其他有关部门应当公开投诉、举报电话，或者运用移动终端、互联网等现代信息技术手段，为公众投诉、举报提供便利。</w:t>
      </w:r>
    </w:p>
    <w:p>
      <w:pPr>
        <w:pStyle w:val="Normal"/>
        <w:widowControl/>
        <w:spacing w:lineRule="atLeast" w:line="300"/>
        <w:rPr>
          <w:rFonts w:ascii="仿宋_GB2312;仿宋" w:hAnsi="仿宋_GB2312;仿宋" w:cs="Arial" w:hint="eastAsia"/>
          <w:kern w:val="0"/>
          <w:szCs w:val="32"/>
        </w:rPr>
      </w:pPr>
      <w:r>
        <w:rPr>
          <w:rFonts w:cs="Arial" w:hint="eastAsia" w:ascii="仿宋_GB2312;仿宋" w:hAnsi="仿宋_GB2312;仿宋"/>
          <w:kern w:val="0"/>
          <w:szCs w:val="32"/>
        </w:rPr>
      </w:r>
    </w:p>
    <w:p>
      <w:pPr>
        <w:pStyle w:val="Normal"/>
        <w:widowControl/>
        <w:numPr>
          <w:ilvl w:val="0"/>
          <w:numId w:val="0"/>
        </w:numPr>
        <w:spacing w:lineRule="atLeast" w:line="300"/>
        <w:ind w:firstLineChars="0" w:firstLine="0" w:startChars="0" w:start="0" w:endChars="0" w:end="0"/>
        <w:jc w:val="center"/>
        <w:rPr>
          <w:rFonts w:ascii="黑体" w:hAnsi="黑体" w:eastAsia="黑体" w:cs="黑体" w:hint="eastAsia"/>
          <w:kern w:val="0"/>
          <w:szCs w:val="32"/>
        </w:rPr>
      </w:pPr>
      <w:bookmarkStart w:id="4" w:name="%232"/>
      <w:bookmarkEnd w:id="3"/>
      <w:r>
        <w:rPr>
          <w:rFonts w:ascii="黑体" w:hAnsi="黑体" w:cs="黑体" w:hint="eastAsia" w:eastAsia="黑体"/>
          <w:kern w:val="0"/>
          <w:szCs w:val="32"/>
        </w:rPr>
        <w:t>第二章 铁路线路安全</w:t>
      </w:r>
    </w:p>
    <w:p>
      <w:pPr>
        <w:pStyle w:val="Normal"/>
        <w:widowControl/>
        <w:numPr>
          <w:ilvl w:val="0"/>
          <w:numId w:val="0"/>
        </w:numPr>
        <w:spacing w:lineRule="atLeast" w:line="300"/>
        <w:ind w:firstLineChars="0" w:firstLine="0" w:startChars="0" w:start="0" w:endChars="0" w:end="0"/>
        <w:rPr>
          <w:rFonts w:ascii="仿宋_GB2312;仿宋" w:hAnsi="仿宋_GB2312;仿宋" w:eastAsia="黑体" w:cs="Arial" w:hint="eastAsia"/>
          <w:kern w:val="0"/>
          <w:szCs w:val="32"/>
        </w:rPr>
      </w:pPr>
      <w:r>
        <w:rPr>
          <w:rFonts w:eastAsia="黑体" w:cs="Arial" w:hint="eastAsia" w:ascii="仿宋_GB2312;仿宋" w:hAnsi="仿宋_GB2312;仿宋"/>
          <w:kern w:val="0"/>
          <w:szCs w:val="32"/>
        </w:rPr>
      </w:r>
    </w:p>
    <w:p>
      <w:pPr>
        <w:pStyle w:val="Normal"/>
        <w:widowControl/>
        <w:spacing w:lineRule="atLeast" w:line="300"/>
        <w:ind w:firstLineChars="200" w:startChars="0" w:start="0" w:endChars="0" w:end="0"/>
        <w:rPr>
          <w:rStyle w:val="2Char"/>
          <w:rFonts w:hint="eastAsia"/>
        </w:rPr>
      </w:pPr>
      <w:r>
        <w:rPr>
          <w:rFonts w:cs="Arial" w:hint="eastAsia" w:ascii="仿宋_GB2312;仿宋" w:hAnsi="仿宋_GB2312;仿宋"/>
          <w:kern w:val="0"/>
          <w:szCs w:val="32"/>
        </w:rPr>
        <w:t xml:space="preserve"> </w:t>
      </w:r>
    </w:p>
    <w:p>
      <w:pPr>
        <w:pStyle w:val="2"/>
        <w:bidi w:val="0"/>
        <w:rPr>
          <w:rFonts w:hint="eastAsia"/>
        </w:rPr>
      </w:pPr>
      <w:r>
        <w:rPr>
          <w:rFonts w:cs="Arial" w:hint="eastAsia" w:ascii="仿宋_GB2312;仿宋" w:hAnsi="仿宋_GB2312;仿宋"/>
          <w:kern w:val="0"/>
          <w:szCs w:val="32"/>
        </w:rPr>
        <w:t xml:space="preserve"> </w:t>
      </w:r>
      <w:r>
        <w:rPr>
          <w:rFonts w:hint="eastAsia"/>
        </w:rPr>
        <w:t>在铁路线路安全保护区内不得实施下列行为：</w:t>
      </w:r>
    </w:p>
    <w:p>
      <w:pPr>
        <w:pStyle w:val="2"/>
        <w:bidi w:val="0"/>
        <w:rPr>
          <w:rFonts w:hint="eastAsia"/>
        </w:rPr>
      </w:pPr>
      <w:r>
        <w:rPr>
          <w:rFonts w:hint="eastAsia"/>
        </w:rPr>
        <w:t>（一）排污、倾倒垃圾以及其他危害铁路安全的物质；</w:t>
      </w:r>
    </w:p>
    <w:p>
      <w:pPr>
        <w:pStyle w:val="2"/>
        <w:bidi w:val="0"/>
        <w:rPr>
          <w:rFonts w:hint="eastAsia"/>
        </w:rPr>
      </w:pPr>
      <w:r>
        <w:rPr>
          <w:rFonts w:hint="eastAsia"/>
        </w:rPr>
        <w:t>（二）燃放烟花爆竹、烧荒；</w:t>
      </w:r>
    </w:p>
    <w:p>
      <w:pPr>
        <w:pStyle w:val="2"/>
        <w:bidi w:val="0"/>
        <w:rPr>
          <w:rFonts w:hint="eastAsia"/>
        </w:rPr>
      </w:pPr>
      <w:r>
        <w:rPr>
          <w:rFonts w:hint="eastAsia"/>
        </w:rPr>
        <w:t>（三）放养牲畜、种植影响铁路线路安全和行车瞭望的树木等植物；</w:t>
      </w:r>
    </w:p>
    <w:p>
      <w:pPr>
        <w:pStyle w:val="2"/>
        <w:bidi w:val="0"/>
        <w:rPr>
          <w:rFonts w:hint="eastAsia"/>
        </w:rPr>
      </w:pPr>
      <w:r>
        <w:rPr>
          <w:rFonts w:hint="eastAsia"/>
        </w:rPr>
        <w:t>（四）法律、法规禁止的其他危及铁路安全的行为。</w:t>
      </w:r>
    </w:p>
    <w:p>
      <w:pPr>
        <w:pStyle w:val="2"/>
        <w:bidi w:val="0"/>
        <w:rPr>
          <w:rFonts w:hint="eastAsia"/>
        </w:rPr>
      </w:pPr>
      <w:r>
        <w:rPr>
          <w:rFonts w:hint="eastAsia"/>
        </w:rPr>
        <w:t>铁路线路安全保护区内既有建筑物、构筑物、植物的所有权人、管理人或者使用权人，应当加强经常性巡查维护，及时排除安全隐患，防止影响铁路运输安全。</w:t>
      </w:r>
    </w:p>
    <w:p>
      <w:pPr>
        <w:pStyle w:val="2"/>
        <w:bidi w:val="0"/>
        <w:rPr>
          <w:rFonts w:hint="eastAsia"/>
        </w:rPr>
      </w:pPr>
      <w:r>
        <w:rPr>
          <w:rFonts w:hint="eastAsia"/>
        </w:rPr>
        <w:t>所有权人、管理人或者使用权人拒绝排除安全隐患或者采取安全防护措施后仍不能保证安全的，铁路运输企业应当向铁路线路所在地的县级以上人民政府报告，由县级以上人民政府依法处理。</w:t>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hint="eastAsia"/>
        </w:rPr>
      </w:r>
    </w:p>
    <w:p>
      <w:pPr>
        <w:pStyle w:val="2"/>
        <w:bidi w:val="0"/>
        <w:rPr>
          <w:rFonts w:hint="eastAsia"/>
        </w:rPr>
      </w:pPr>
      <w:r>
        <w:rPr>
          <w:rFonts w:hint="eastAsia"/>
        </w:rPr>
        <w:t>铁路与道路立体交叉设施及其附属安全设施竣工验收合格后，应当按照国家有关规定移交有关单位管理、维护。</w:t>
      </w:r>
    </w:p>
    <w:p>
      <w:pPr>
        <w:pStyle w:val="2"/>
        <w:bidi w:val="0"/>
        <w:rPr>
          <w:rFonts w:ascii="仿宋_GB2312;仿宋" w:hAnsi="仿宋_GB2312;仿宋" w:cs="Arial" w:hint="eastAsia"/>
          <w:kern w:val="0"/>
          <w:szCs w:val="32"/>
        </w:rPr>
      </w:pPr>
      <w:r>
        <w:rPr>
          <w:rFonts w:hint="eastAsia"/>
        </w:rPr>
        <w:t>对于产权不清、管理主体不明的上跨铁路桥梁、渡槽、管线和下穿铁路涵洞等穿越铁路的设施，由所在地县级以上人民政府组织有关部门与铁路运输企业协商，指定维护、管理单位，签订安全协议，落实安全管理责任。</w:t>
      </w:r>
    </w:p>
    <w:p>
      <w:pPr>
        <w:pStyle w:val="2"/>
        <w:bidi w:val="0"/>
        <w:rPr>
          <w:rFonts w:hint="eastAsia"/>
        </w:rPr>
      </w:pPr>
      <w:r>
        <w:rPr>
          <w:rFonts w:hint="eastAsia"/>
        </w:rPr>
        <w:t>在铁路线路安全保护区内，修建上跨、下穿、并行铁路的桥梁、涵洞、道路，铺设供水、油气输送等管道或者光（电）缆设施，架设电力、通信线路或者杆塔，以及开展地质钻探等建设施工作业的，应当征得铁路运输企业同意并签订安全协议，遵守保证铁路安全的国家标准、行业标准和施工安全规范，采取措施防止影响铁路运输安全。铁路运输企业应当派员对施工现场进行安全监督。</w:t>
      </w:r>
    </w:p>
    <w:p>
      <w:pPr>
        <w:pStyle w:val="2"/>
        <w:bidi w:val="0"/>
        <w:rPr>
          <w:rFonts w:hint="eastAsia"/>
        </w:rPr>
      </w:pPr>
      <w:r>
        <w:rPr>
          <w:rFonts w:hint="eastAsia"/>
        </w:rPr>
        <w:t>未征得铁路运输企业同意并签订安全协议进行建设施工作业的，铁路运输企业应当立即制止并采取安全防护措施；无法制止的，应当及时向铁路监督管理机构、铁路线路所在地的县级以上人民政府报告，由铁路监督管理机构、县级以上人民政府依法处理。</w:t>
      </w:r>
    </w:p>
    <w:p>
      <w:pPr>
        <w:pStyle w:val="2"/>
        <w:bidi w:val="0"/>
        <w:rPr>
          <w:rFonts w:hint="eastAsia"/>
        </w:rPr>
      </w:pPr>
      <w:r>
        <w:rPr>
          <w:rFonts w:hint="eastAsia"/>
        </w:rPr>
        <w:t>设置或者拓宽铁路道口、铁路人行过道，应当征得铁路运输企业同意。对擅自设置或者拓宽铁路道口、铁路人行过道的，铁路运输企业应当向铁路线路所在地的县级以上人民政府有关部门报告，由县级以上人民政府有关部门依法处理。</w:t>
      </w:r>
    </w:p>
    <w:p>
      <w:pPr>
        <w:pStyle w:val="2"/>
        <w:bidi w:val="0"/>
        <w:rPr>
          <w:rFonts w:hint="eastAsia"/>
        </w:rPr>
      </w:pPr>
      <w:r>
        <w:rPr>
          <w:rFonts w:hint="eastAsia"/>
        </w:rPr>
        <w:t>对于既有的铁路、道路平交道口，铁路运输企业应当依照国家有关法律、法规和实际需要，与道路管理部门或者道路经营单位协商，采取封闭或者立交改造等措施处理。</w:t>
      </w:r>
    </w:p>
    <w:p>
      <w:pPr>
        <w:pStyle w:val="2"/>
        <w:bidi w:val="0"/>
        <w:rPr>
          <w:rFonts w:hint="eastAsia"/>
        </w:rPr>
      </w:pPr>
      <w:r>
        <w:rPr>
          <w:rFonts w:hint="eastAsia"/>
        </w:rPr>
        <w:t>驾驶机动车通过铁路道口、上跨铁路桥梁或者下穿铁路桥梁、涵洞的道路，应当遵守限载、限速、限高、限宽、限长等规定。</w:t>
      </w:r>
    </w:p>
    <w:p>
      <w:pPr>
        <w:pStyle w:val="2"/>
        <w:bidi w:val="0"/>
        <w:rPr>
          <w:rFonts w:hint="eastAsia"/>
        </w:rPr>
      </w:pPr>
      <w:r>
        <w:rPr>
          <w:rFonts w:hint="eastAsia"/>
        </w:rPr>
        <w:t>铁路道口所在地的道路管理部门应当加强铁路道口警示标志、铁路道口路段标线的设置和维护，对事故多发的重点铁路道口采取减速、限行等防护措施。</w:t>
      </w:r>
    </w:p>
    <w:p>
      <w:pPr>
        <w:pStyle w:val="Normal"/>
        <w:widowControl/>
        <w:spacing w:lineRule="atLeast" w:line="300"/>
        <w:ind w:firstLineChars="200" w:startChars="0" w:start="0" w:endChars="0" w:end="0"/>
        <w:rPr>
          <w:rFonts w:ascii="仿宋_GB2312;仿宋" w:hAnsi="仿宋_GB2312;仿宋" w:cs="Arial" w:hint="eastAsia"/>
          <w:kern w:val="0"/>
          <w:szCs w:val="32"/>
        </w:rPr>
      </w:pPr>
      <w:r>
        <w:rPr>
          <w:rFonts w:cs="Arial" w:hint="eastAsia" w:ascii="仿宋_GB2312;仿宋" w:hAnsi="仿宋_GB2312;仿宋"/>
          <w:kern w:val="0"/>
          <w:szCs w:val="32"/>
        </w:rPr>
        <w:t xml:space="preserve"> </w:t>
      </w:r>
    </w:p>
    <w:p>
      <w:pPr>
        <w:pStyle w:val="2"/>
        <w:bidi w:val="0"/>
        <w:rPr>
          <w:rFonts w:hint="eastAsia"/>
        </w:rPr>
      </w:pPr>
      <w:r>
        <w:rPr>
          <w:rFonts w:hint="eastAsia"/>
        </w:rPr>
        <w:t>县级以上人民政府及其有关部门应当将铁路用地范围外两侧的山坡地划定为水土流失重点预防区，采取水土保持措施，防治水土流失。铁路隧道顶上的山坡地由铁路运输企业协助当地人民政府进行整治。</w:t>
      </w:r>
    </w:p>
    <w:p>
      <w:pPr>
        <w:pStyle w:val="2"/>
        <w:bidi w:val="0"/>
        <w:rPr>
          <w:rFonts w:hint="eastAsia"/>
        </w:rPr>
      </w:pPr>
      <w:r>
        <w:rPr>
          <w:rFonts w:hint="eastAsia"/>
        </w:rPr>
        <w:t>开发建设铁路用地范围外两侧的山坡地可能危及铁路安全的，应当采取有效的安全防护措施。</w:t>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hint="eastAsia"/>
        </w:rPr>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cs="Arial" w:hint="eastAsia" w:ascii="仿宋_GB2312;仿宋" w:hAnsi="仿宋_GB2312;仿宋"/>
          <w:kern w:val="0"/>
          <w:szCs w:val="32"/>
        </w:rPr>
      </w:r>
    </w:p>
    <w:p>
      <w:pPr>
        <w:pStyle w:val="2"/>
        <w:bidi w:val="0"/>
        <w:rPr>
          <w:rFonts w:hint="eastAsia"/>
        </w:rPr>
      </w:pPr>
      <w:r>
        <w:rPr>
          <w:rFonts w:hint="eastAsia"/>
        </w:rPr>
        <w:t>无线电管理机构应当会同铁路监督管理机构依法对铁路沿线的电磁环境进行保护，支持健全铁路沿线的无线电监测网络，查处干扰铁路运营指挥调度无线电频率正常使用的行为，铁路运输企业应当予以配合。</w:t>
      </w:r>
    </w:p>
    <w:p>
      <w:pPr>
        <w:pStyle w:val="2"/>
        <w:bidi w:val="0"/>
        <w:rPr>
          <w:rFonts w:hint="eastAsia"/>
        </w:rPr>
      </w:pPr>
      <w:r>
        <w:rPr>
          <w:rFonts w:hint="eastAsia"/>
        </w:rPr>
        <w:t>任何单位和个人使用的无线电台（站）以及其他仪器、装置，不得干扰铁路运营指挥调度无线电频率的正常使用。</w:t>
      </w:r>
    </w:p>
    <w:p>
      <w:pPr>
        <w:pStyle w:val="2"/>
        <w:bidi w:val="0"/>
        <w:rPr>
          <w:rFonts w:ascii="仿宋_GB2312;仿宋" w:hAnsi="仿宋_GB2312;仿宋" w:cs="Arial" w:hint="eastAsia"/>
          <w:kern w:val="0"/>
          <w:szCs w:val="32"/>
        </w:rPr>
      </w:pPr>
      <w:r>
        <w:rPr>
          <w:rFonts w:hint="eastAsia"/>
        </w:rPr>
        <w:t>铁路运输企业应当依法设置和使用无线电台（站），定期对铁路沿线无线电干扰进行排查，发现影响铁路运营指挥调度正常工作的，应当立即报告无线电管理机构、铁路监督管理机构，由无线电管理机构、铁路监督管理机构依法处理。</w:t>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cs="Arial" w:hint="eastAsia" w:ascii="仿宋_GB2312;仿宋" w:hAnsi="仿宋_GB2312;仿宋"/>
          <w:kern w:val="0"/>
          <w:szCs w:val="32"/>
        </w:rPr>
      </w:r>
    </w:p>
    <w:p>
      <w:pPr>
        <w:pStyle w:val="1"/>
        <w:bidi w:val="0"/>
        <w:ind w:firstLineChars="0" w:firstLine="0" w:endChars="0" w:end="0"/>
        <w:jc w:val="center"/>
        <w:rPr>
          <w:rFonts w:hint="eastAsia"/>
        </w:rPr>
      </w:pPr>
      <w:r>
        <w:rPr>
          <w:rFonts w:hint="eastAsia"/>
        </w:rPr>
        <w:t>第三章 铁路运营安全</w:t>
      </w:r>
    </w:p>
    <w:p>
      <w:pPr>
        <w:pStyle w:val="Normal"/>
        <w:widowControl/>
        <w:numPr>
          <w:ilvl w:val="0"/>
          <w:numId w:val="0"/>
        </w:numPr>
        <w:spacing w:lineRule="atLeast" w:line="300"/>
        <w:ind w:firstLineChars="0" w:firstLine="0" w:startChars="0" w:start="0" w:endChars="0" w:end="0"/>
        <w:rPr>
          <w:rFonts w:ascii="仿宋_GB2312;仿宋" w:hAnsi="仿宋_GB2312;仿宋" w:cs="Arial" w:hint="eastAsia"/>
          <w:kern w:val="0"/>
          <w:szCs w:val="32"/>
        </w:rPr>
      </w:pPr>
      <w:r>
        <w:rPr>
          <w:rFonts w:cs="Arial" w:hint="eastAsia" w:ascii="仿宋_GB2312;仿宋" w:hAnsi="仿宋_GB2312;仿宋"/>
          <w:kern w:val="0"/>
          <w:szCs w:val="32"/>
        </w:rPr>
      </w:r>
    </w:p>
    <w:p>
      <w:pPr>
        <w:pStyle w:val="2"/>
        <w:bidi w:val="0"/>
        <w:rPr>
          <w:rFonts w:hint="eastAsia"/>
        </w:rPr>
      </w:pPr>
      <w:r>
        <w:rPr>
          <w:rFonts w:hint="eastAsia"/>
        </w:rPr>
        <w:t>禁止实施下列危害铁路安全的行为：</w:t>
      </w:r>
    </w:p>
    <w:p>
      <w:pPr>
        <w:pStyle w:val="2"/>
        <w:bidi w:val="0"/>
        <w:rPr>
          <w:rFonts w:hint="eastAsia"/>
        </w:rPr>
      </w:pPr>
      <w:r>
        <w:rPr>
          <w:rFonts w:hint="eastAsia"/>
        </w:rPr>
        <w:t>（一）非法攀爬、钻越车站防护设施；</w:t>
      </w:r>
    </w:p>
    <w:p>
      <w:pPr>
        <w:pStyle w:val="2"/>
        <w:bidi w:val="0"/>
        <w:rPr>
          <w:rFonts w:hint="eastAsia"/>
        </w:rPr>
      </w:pPr>
      <w:r>
        <w:rPr>
          <w:rFonts w:hint="eastAsia"/>
        </w:rPr>
        <w:t>（二）擅自进入列车司机室、机械室等工作区域；</w:t>
      </w:r>
    </w:p>
    <w:p>
      <w:pPr>
        <w:pStyle w:val="2"/>
        <w:bidi w:val="0"/>
        <w:rPr>
          <w:rFonts w:hint="eastAsia"/>
        </w:rPr>
      </w:pPr>
      <w:r>
        <w:rPr>
          <w:rFonts w:hint="eastAsia"/>
        </w:rPr>
        <w:t>（三）擅自进入设备管理和行车调度等工作场所；</w:t>
      </w:r>
    </w:p>
    <w:p>
      <w:pPr>
        <w:pStyle w:val="2"/>
        <w:bidi w:val="0"/>
        <w:rPr>
          <w:rFonts w:hint="eastAsia"/>
        </w:rPr>
      </w:pPr>
      <w:r>
        <w:rPr>
          <w:rFonts w:hint="eastAsia"/>
        </w:rPr>
        <w:t>（四）阻碍发车和妨碍铁路工作人员正常工作；</w:t>
      </w:r>
    </w:p>
    <w:p>
      <w:pPr>
        <w:pStyle w:val="2"/>
        <w:bidi w:val="0"/>
        <w:rPr>
          <w:rFonts w:hint="eastAsia"/>
        </w:rPr>
      </w:pPr>
      <w:r>
        <w:rPr>
          <w:rFonts w:hint="eastAsia"/>
        </w:rPr>
        <w:t>（五）在禁止吸烟的列车和铁路车站的禁烟区域内吸烟，或者使用能够产生烟雾的香烟替代品及其他物品；</w:t>
      </w:r>
    </w:p>
    <w:p>
      <w:pPr>
        <w:pStyle w:val="2"/>
        <w:bidi w:val="0"/>
        <w:rPr>
          <w:rFonts w:hint="eastAsia"/>
        </w:rPr>
      </w:pPr>
      <w:r>
        <w:rPr>
          <w:rFonts w:hint="eastAsia"/>
        </w:rPr>
        <w:t>（六）法律、法规规定的其他危害行为。</w:t>
      </w:r>
    </w:p>
    <w:p>
      <w:pPr>
        <w:pStyle w:val="2"/>
        <w:bidi w:val="0"/>
        <w:rPr>
          <w:rFonts w:hint="eastAsia"/>
        </w:rPr>
      </w:pPr>
      <w:r>
        <w:rPr>
          <w:rFonts w:hint="eastAsia"/>
        </w:rPr>
        <w:t>铁路车站应当有严密的安全保卫措施，实行封闭式管理。有下列行为的，铁路运输企业有权拒绝其进站乘车：</w:t>
      </w:r>
    </w:p>
    <w:p>
      <w:pPr>
        <w:pStyle w:val="2"/>
        <w:bidi w:val="0"/>
        <w:rPr>
          <w:rFonts w:hint="eastAsia"/>
        </w:rPr>
      </w:pPr>
      <w:r>
        <w:rPr>
          <w:rFonts w:hint="eastAsia"/>
        </w:rPr>
        <w:t>（一）拒绝接受安全检查或者携带违禁物品的；</w:t>
      </w:r>
    </w:p>
    <w:p>
      <w:pPr>
        <w:pStyle w:val="2"/>
        <w:bidi w:val="0"/>
        <w:rPr>
          <w:rFonts w:hint="eastAsia"/>
        </w:rPr>
      </w:pPr>
      <w:r>
        <w:rPr>
          <w:rFonts w:hint="eastAsia"/>
        </w:rPr>
        <w:t>（二）无有效乘车凭证的；</w:t>
      </w:r>
    </w:p>
    <w:p>
      <w:pPr>
        <w:pStyle w:val="2"/>
        <w:bidi w:val="0"/>
        <w:rPr>
          <w:rFonts w:hint="eastAsia"/>
        </w:rPr>
      </w:pPr>
      <w:r>
        <w:rPr>
          <w:rFonts w:hint="eastAsia"/>
        </w:rPr>
        <w:t>（三）乘车凭证所记载身份信息与本人真实身份信息不符的；</w:t>
      </w:r>
    </w:p>
    <w:p>
      <w:pPr>
        <w:pStyle w:val="2"/>
        <w:bidi w:val="0"/>
        <w:rPr>
          <w:rFonts w:hint="eastAsia"/>
        </w:rPr>
      </w:pPr>
      <w:r>
        <w:rPr>
          <w:rFonts w:hint="eastAsia"/>
        </w:rPr>
        <w:t>（四）法律、法规规定的其他危害铁路安全的行为。</w:t>
      </w:r>
    </w:p>
    <w:p>
      <w:pPr>
        <w:pStyle w:val="2"/>
        <w:bidi w:val="0"/>
        <w:rPr>
          <w:rFonts w:hint="eastAsia"/>
        </w:rPr>
      </w:pPr>
      <w:r>
        <w:rPr>
          <w:rFonts w:hint="eastAsia"/>
        </w:rPr>
        <w:t>铁路运输企业应当在列车、车站等场所公告旅客、列车工作人员以及其他进站人员遵守的安全管理规定，在列车晚点、停运时应当及时向旅客通报信息、说明情况并采取有效应对措施。</w:t>
      </w:r>
    </w:p>
    <w:p>
      <w:pPr>
        <w:pStyle w:val="2"/>
        <w:bidi w:val="0"/>
        <w:rPr>
          <w:rFonts w:hint="eastAsia"/>
        </w:rPr>
      </w:pPr>
      <w:r>
        <w:rPr>
          <w:rFonts w:hint="eastAsia"/>
        </w:rPr>
        <w:t>旅客及其他进站人员应当遵守有关安全管理规定，接受铁路运输企业工作人员在车站、列车实施的安全检查和依法采取的处置措施，不得作出打骂、侮辱铁路运输企业工作人员等行为。</w:t>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hint="eastAsia"/>
        </w:rPr>
      </w:r>
    </w:p>
    <w:p>
      <w:pPr>
        <w:pStyle w:val="2"/>
        <w:bidi w:val="0"/>
        <w:rPr>
          <w:rFonts w:hint="eastAsia"/>
        </w:rPr>
      </w:pPr>
      <w:r>
        <w:rPr>
          <w:rFonts w:hint="eastAsia"/>
        </w:rPr>
        <w:t>铁路运输企业应当遵守国家有关食品安全管理的法律、法规，加强铁路运营食品安全管理，确保食品安全。</w:t>
      </w:r>
    </w:p>
    <w:p>
      <w:pPr>
        <w:pStyle w:val="2"/>
        <w:bidi w:val="0"/>
        <w:rPr>
          <w:rFonts w:hint="eastAsia"/>
        </w:rPr>
      </w:pPr>
      <w:r>
        <w:rPr>
          <w:rFonts w:hint="eastAsia"/>
        </w:rPr>
        <w:t>铁路运营食品安全实行统一监管制度。铁路食品安全监督管理机构承担铁路运营食品安全监督管理主体责任，并接受省人民政府市场监管部门的业务监督指导。</w:t>
      </w:r>
    </w:p>
    <w:p>
      <w:pPr>
        <w:pStyle w:val="2"/>
        <w:bidi w:val="0"/>
        <w:rPr>
          <w:rFonts w:hint="eastAsia"/>
        </w:rPr>
      </w:pPr>
      <w:r>
        <w:rPr>
          <w:rFonts w:hint="eastAsia"/>
        </w:rPr>
        <w:t>铁路运输企业应当加强视频监控系统建设和维护，在车站、铁路沿线重点保护区域安装公共安全视频图像信息系统，与公安机关及地方综治部门视频图像共享平台实现联网对接。</w:t>
      </w:r>
    </w:p>
    <w:p>
      <w:pPr>
        <w:pStyle w:val="2"/>
        <w:bidi w:val="0"/>
        <w:rPr>
          <w:rFonts w:hint="eastAsia"/>
        </w:rPr>
      </w:pPr>
      <w:r>
        <w:rPr>
          <w:rFonts w:hint="eastAsia"/>
        </w:rPr>
        <w:t>县级以上人民政府建设公共安全视频图像信息系统时，应当将本行政区域内存在铁路安全隐患的重点区段纳入视频监控范围。</w:t>
      </w:r>
    </w:p>
    <w:p>
      <w:pPr>
        <w:pStyle w:val="2"/>
        <w:bidi w:val="0"/>
        <w:rPr>
          <w:rFonts w:hint="eastAsia"/>
        </w:rPr>
      </w:pPr>
      <w:r>
        <w:rPr>
          <w:rFonts w:hint="eastAsia"/>
        </w:rPr>
        <w:t>铁路沿线县级以上人民政府应当将铁路突发事件应急预案纳入本地区突发事件应急预案体系。</w:t>
      </w:r>
    </w:p>
    <w:p>
      <w:pPr>
        <w:pStyle w:val="2"/>
        <w:bidi w:val="0"/>
        <w:rPr>
          <w:rFonts w:hint="eastAsia"/>
        </w:rPr>
      </w:pPr>
      <w:r>
        <w:rPr>
          <w:rFonts w:hint="eastAsia"/>
        </w:rPr>
        <w:t>铁路监督管理机构、铁路运输企业等单位制定突发事件应急预案，应当与县级以上人民政府相关应急预案相衔接，并定期开展应急培训演练。</w:t>
      </w:r>
    </w:p>
    <w:p>
      <w:pPr>
        <w:pStyle w:val="2"/>
        <w:bidi w:val="0"/>
        <w:rPr>
          <w:rFonts w:hint="eastAsia"/>
        </w:rPr>
      </w:pPr>
      <w:r>
        <w:rPr>
          <w:rFonts w:hint="eastAsia"/>
        </w:rPr>
        <w:t>铁路沿线县级以上人民政府应当将铁路沿线线路、车站治安防范工作纳入本地区社会治安防控体系建设，建立涉及铁路安全的矛盾纠纷排查化解机制，组织公安机关、铁路运输企业、护路联防组织等部门和单位，做好治安防范工作。</w:t>
      </w:r>
    </w:p>
    <w:p>
      <w:pPr>
        <w:pStyle w:val="2"/>
        <w:bidi w:val="0"/>
        <w:rPr>
          <w:rFonts w:hint="eastAsia"/>
        </w:rPr>
      </w:pPr>
      <w:r>
        <w:rPr>
          <w:rFonts w:hint="eastAsia"/>
        </w:rPr>
        <w:t>铁路公安机关、地方公安机关按照职责分工，共同维护车站、列车等铁路场所和铁路沿线的治安秩序，建立健全铁路治安管理信息互通共享和预警防范、执勤联动、报警求助、执法协作、应急处置等机制，依法处理危及铁路安全和人民群众人身财产安全的行为。</w:t>
      </w:r>
    </w:p>
    <w:p>
      <w:pPr>
        <w:pStyle w:val="2"/>
        <w:bidi w:val="0"/>
        <w:rPr>
          <w:rFonts w:hint="eastAsia"/>
        </w:rPr>
      </w:pPr>
      <w:r>
        <w:rPr>
          <w:rFonts w:hint="eastAsia"/>
        </w:rPr>
        <w:t>县级以上人民政府及其有关部门、铁路运输企业应当依照国家有关自然灾害防治法律、法规，加强铁路沿线灾害隐患的排查、治理、通报、预防和应急处置等工作。</w:t>
      </w:r>
    </w:p>
    <w:p>
      <w:pPr>
        <w:pStyle w:val="2"/>
        <w:bidi w:val="0"/>
        <w:rPr>
          <w:rFonts w:hint="eastAsia"/>
        </w:rPr>
      </w:pPr>
      <w:r>
        <w:rPr>
          <w:rFonts w:hint="eastAsia"/>
        </w:rPr>
        <w:t>铁路运输企业应当与自然资源、应急管理、生态环境、水利、气象等部门建立灾害信息互通机制。</w:t>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hint="eastAsia"/>
        </w:rPr>
      </w:r>
    </w:p>
    <w:p>
      <w:pPr>
        <w:pStyle w:val="2"/>
        <w:bidi w:val="0"/>
        <w:rPr>
          <w:rFonts w:hint="eastAsia"/>
        </w:rPr>
      </w:pPr>
      <w:r>
        <w:rPr>
          <w:rFonts w:hint="eastAsia"/>
        </w:rPr>
        <w:t>发生涉及铁路运输安全的突发事件后，铁路运输企业及其所属的生产经营单位应当立即采取有效措施，防止事故扩大，减少人员伤亡和财产损失，并向事件发生地地方人民政府及其有关部门和铁路监督管理机构报告。</w:t>
      </w:r>
    </w:p>
    <w:p>
      <w:pPr>
        <w:pStyle w:val="2"/>
        <w:bidi w:val="0"/>
        <w:rPr>
          <w:rFonts w:hint="eastAsia"/>
        </w:rPr>
      </w:pPr>
      <w:r>
        <w:rPr>
          <w:rFonts w:hint="eastAsia"/>
        </w:rPr>
        <w:t>事件发生地地方人民政府及其有关部门和铁路监督管理机构接到报告后，应当依照国家有关法律、行政法规的规定和应急预案要求，立即组织开展应急救援和处置工作，并按国家有关规定及时报告。</w:t>
      </w:r>
    </w:p>
    <w:p>
      <w:pPr>
        <w:pStyle w:val="Normal"/>
        <w:widowControl/>
        <w:spacing w:lineRule="atLeast" w:line="300"/>
        <w:rPr>
          <w:rFonts w:ascii="仿宋_GB2312;仿宋" w:hAnsi="仿宋_GB2312;仿宋" w:cs="Arial" w:hint="eastAsia"/>
          <w:kern w:val="0"/>
          <w:szCs w:val="32"/>
        </w:rPr>
      </w:pPr>
      <w:r>
        <w:rPr>
          <w:rFonts w:cs="Arial" w:hint="eastAsia" w:ascii="仿宋_GB2312;仿宋" w:hAnsi="仿宋_GB2312;仿宋"/>
          <w:kern w:val="0"/>
          <w:szCs w:val="32"/>
        </w:rPr>
      </w:r>
    </w:p>
    <w:p>
      <w:pPr>
        <w:pStyle w:val="1"/>
        <w:bidi w:val="0"/>
        <w:ind w:firstLineChars="0" w:firstLine="0" w:endChars="0" w:end="0"/>
        <w:jc w:val="center"/>
        <w:rPr>
          <w:rFonts w:hint="eastAsia"/>
        </w:rPr>
      </w:pPr>
      <w:r>
        <w:rPr>
          <w:rFonts w:hint="eastAsia"/>
        </w:rPr>
        <w:t>第四章 法律责任</w:t>
      </w:r>
    </w:p>
    <w:p>
      <w:pPr>
        <w:pStyle w:val="Normal"/>
        <w:widowControl/>
        <w:spacing w:lineRule="atLeast" w:line="300"/>
        <w:rPr>
          <w:rFonts w:ascii="仿宋_GB2312;仿宋" w:hAnsi="仿宋_GB2312;仿宋" w:cs="Arial" w:hint="eastAsia"/>
          <w:kern w:val="0"/>
          <w:szCs w:val="32"/>
        </w:rPr>
      </w:pPr>
      <w:r>
        <w:rPr>
          <w:rFonts w:cs="Arial" w:hint="eastAsia" w:ascii="仿宋_GB2312;仿宋" w:hAnsi="仿宋_GB2312;仿宋"/>
          <w:kern w:val="0"/>
          <w:szCs w:val="32"/>
        </w:rPr>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cs="Arial" w:hint="eastAsia" w:ascii="仿宋_GB2312;仿宋" w:hAnsi="仿宋_GB2312;仿宋"/>
          <w:kern w:val="0"/>
          <w:szCs w:val="32"/>
        </w:rPr>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cs="Arial" w:hint="eastAsia" w:ascii="仿宋_GB2312;仿宋" w:hAnsi="仿宋_GB2312;仿宋"/>
          <w:kern w:val="0"/>
          <w:szCs w:val="32"/>
        </w:rPr>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cs="Arial" w:hint="eastAsia" w:ascii="仿宋_GB2312;仿宋" w:hAnsi="仿宋_GB2312;仿宋"/>
          <w:kern w:val="0"/>
          <w:szCs w:val="32"/>
        </w:rPr>
      </w:r>
    </w:p>
    <w:p>
      <w:pPr>
        <w:pStyle w:val="1"/>
        <w:bidi w:val="0"/>
        <w:ind w:firstLineChars="0" w:firstLine="0" w:endChars="0" w:end="0"/>
        <w:jc w:val="center"/>
        <w:rPr>
          <w:rFonts w:hint="eastAsia"/>
        </w:rPr>
      </w:pPr>
      <w:r>
        <w:rPr>
          <w:rFonts w:hint="eastAsia"/>
        </w:rPr>
        <w:t>第五章 附则</w:t>
      </w:r>
    </w:p>
    <w:p>
      <w:pPr>
        <w:pStyle w:val="Normal"/>
        <w:widowControl/>
        <w:spacing w:lineRule="atLeast" w:line="300"/>
        <w:rPr>
          <w:rFonts w:ascii="仿宋_GB2312;仿宋" w:hAnsi="仿宋_GB2312;仿宋" w:cs="Arial" w:hint="eastAsia"/>
          <w:kern w:val="0"/>
          <w:szCs w:val="32"/>
        </w:rPr>
      </w:pPr>
      <w:r>
        <w:rPr>
          <w:rFonts w:cs="Arial" w:hint="eastAsia" w:ascii="仿宋_GB2312;仿宋" w:hAnsi="仿宋_GB2312;仿宋"/>
          <w:kern w:val="0"/>
          <w:szCs w:val="32"/>
        </w:rPr>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cs="Arial" w:hint="eastAsia" w:ascii="仿宋_GB2312;仿宋" w:hAnsi="仿宋_GB2312;仿宋"/>
          <w:kern w:val="0"/>
          <w:szCs w:val="32"/>
        </w:rPr>
      </w:r>
    </w:p>
    <w:p>
      <w:pPr>
        <w:pStyle w:val="2"/>
        <w:bidi w:val="0"/>
        <w:rPr>
          <w:rFonts w:hint="eastAsia"/>
        </w:rPr>
      </w:pPr>
      <w:r>
        <w:rPr>
          <w:rFonts w:hint="eastAsia"/>
        </w:rPr>
        <w:t>铁路运输企业应当公开涉及铁路安全相关工程建设业务的办理渠道、流程和期限。</w:t>
      </w:r>
    </w:p>
    <w:p>
      <w:pPr>
        <w:pStyle w:val="2"/>
        <w:bidi w:val="0"/>
        <w:rPr>
          <w:rFonts w:hint="eastAsia"/>
        </w:rPr>
      </w:pPr>
      <w:r>
        <w:rPr>
          <w:rFonts w:hint="eastAsia"/>
        </w:rPr>
        <w:t>本条例规定应当征得铁路运输企业同意方能从事的活动，铁路运输企业应当自收到申请之日起十个工作日内书面答复；依法需要安全评估或者专家论证的，安全评估或者专家论证的时间不计算在铁路运输企业的答复时限内，铁路运输企业应当书面告知评估论证所需时间。</w:t>
      </w:r>
    </w:p>
    <w:p>
      <w:pPr>
        <w:pStyle w:val="Normal"/>
        <w:widowControl/>
        <w:spacing w:lineRule="atLeast" w:line="300"/>
        <w:ind w:firstLineChars="200" w:startChars="0" w:start="0" w:endChars="0" w:end="0"/>
        <w:rPr>
          <w:rStyle w:val="2Char"/>
          <w:rFonts w:ascii="仿宋_GB2312;仿宋" w:hAnsi="仿宋_GB2312;仿宋" w:cs="Arial" w:hint="eastAsia"/>
          <w:kern w:val="0"/>
          <w:szCs w:val="32"/>
        </w:rPr>
      </w:pPr>
      <w:r>
        <w:rPr>
          <w:rFonts w:hint="eastAsia"/>
        </w:rPr>
      </w:r>
    </w:p>
    <w:p>
      <w:pPr>
        <w:pStyle w:val="Normal"/>
        <w:widowControl/>
        <w:spacing w:lineRule="atLeast" w:line="300"/>
        <w:rPr>
          <w:rFonts w:ascii="仿宋_GB2312;仿宋" w:hAnsi="仿宋_GB2312;仿宋" w:cs="Arial" w:hint="eastAsia"/>
          <w:kern w:val="0"/>
          <w:szCs w:val="32"/>
        </w:rPr>
      </w:pPr>
      <w:r>
        <w:rPr>
          <w:rFonts w:cs="Arial" w:hint="eastAsia" w:ascii="仿宋_GB2312;仿宋" w:hAnsi="仿宋_GB2312;仿宋"/>
          <w:kern w:val="0"/>
          <w:szCs w:val="32"/>
        </w:rPr>
      </w:r>
    </w:p>
    <w:p>
      <w:pPr>
        <w:pStyle w:val="Normal"/>
        <w:spacing w:lineRule="auto" w:line="360"/>
        <w:rPr>
          <w:rFonts w:ascii="黑体" w:hAnsi="黑体" w:eastAsia="黑体" w:cs="宋体" w:hint="eastAsia"/>
          <w:kern w:val="0"/>
          <w:szCs w:val="32"/>
        </w:rPr>
      </w:pPr>
      <w:r>
        <w:rPr>
          <w:rFonts w:eastAsia="黑体" w:cs="宋体" w:hint="eastAsia" w:ascii="黑体" w:hAnsi="黑体"/>
          <w:kern w:val="0"/>
          <w:szCs w:val="32"/>
        </w:rPr>
      </w:r>
      <w:bookmarkEnd w:id="4"/>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ˎ̥">
    <w:altName w:val="微软雅黑"/>
    <w:charset w:val="00" w:characterSet="windows-1252"/>
    <w:family w:val="roman"/>
    <w:pitch w:val="default"/>
  </w:font>
  <w:font w:name="仿宋_GB2312">
    <w:altName w:val="仿宋"/>
    <w:charset w:val="00" w:characterSet="windows-1252"/>
    <w:family w:val="auto"/>
    <w:pitch w:val="default"/>
  </w:font>
  <w:font w:name="黑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624205" cy="614680"/>
              <wp:effectExtent l="0" t="0" r="0" b="0"/>
              <wp:wrapNone/>
              <wp:docPr id="1" name="Frame2"/>
              <a:graphic xmlns:a="http://schemas.openxmlformats.org/drawingml/2006/main">
                <a:graphicData uri="http://schemas.microsoft.com/office/word/2010/wordprocessingShape">
                  <wps:wsp>
                    <wps:cNvSpPr txBox="1"/>
                    <wps:spPr>
                      <a:xfrm>
                        <a:off x="0" y="0"/>
                        <a:ext cx="624205" cy="61468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pPr>
                          <w:r>
                            <w:rPr>
                              <w:sz w:val="28"/>
                            </w:rPr>
                            <w:t xml:space="preserve">— </w:t>
                          </w:r>
                          <w:r>
                            <w:rPr>
                              <w:sz w:val="28"/>
                            </w:rPr>
                            <w:fldChar w:fldCharType="begin"/>
                          </w:r>
                          <w:r>
                            <w:rPr>
                              <w:sz w:val="28"/>
                            </w:rPr>
                            <w:instrText xml:space="preserve"> PAGE </w:instrText>
                          </w:r>
                          <w:r>
                            <w:rPr>
                              <w:sz w:val="28"/>
                            </w:rPr>
                            <w:fldChar w:fldCharType="separate"/>
                          </w:r>
                          <w:r>
                            <w:rPr>
                              <w:sz w:val="28"/>
                            </w:rPr>
                            <w:t>10</w:t>
                          </w:r>
                          <w:r>
                            <w:rPr>
                              <w:sz w:val="28"/>
                            </w:rPr>
                            <w:fldChar w:fldCharType="end"/>
                          </w:r>
                          <w:r>
                            <w:rPr>
                              <w:sz w:val="28"/>
                            </w:rPr>
                            <w:t xml:space="preserve"> —</w:t>
                          </w:r>
                        </w:p>
                      </w:txbxContent>
                    </wps:txbx>
                    <wps:bodyPr anchor="t" lIns="635" tIns="635" rIns="635" bIns="635">
                      <a:spAutoFit/>
                    </wps:bodyPr>
                  </wps:wsp>
                </a:graphicData>
              </a:graphic>
            </wp:anchor>
          </w:drawing>
        </mc:Choice>
        <mc:Fallback>
          <w:pict>
            <v:rect fillcolor="#FFFFFF" style="position:absolute;rotation:-0;width:49.15pt;height:48.4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pPr>
                    <w:r>
                      <w:rPr>
                        <w:sz w:val="28"/>
                      </w:rPr>
                      <w:t xml:space="preserve">— </w:t>
                    </w:r>
                    <w:r>
                      <w:rPr>
                        <w:sz w:val="28"/>
                      </w:rPr>
                      <w:fldChar w:fldCharType="begin"/>
                    </w:r>
                    <w:r>
                      <w:rPr>
                        <w:sz w:val="28"/>
                      </w:rPr>
                      <w:instrText xml:space="preserve"> PAGE </w:instrText>
                    </w:r>
                    <w:r>
                      <w:rPr>
                        <w:sz w:val="28"/>
                      </w:rPr>
                      <w:fldChar w:fldCharType="separate"/>
                    </w:r>
                    <w:r>
                      <w:rPr>
                        <w:sz w:val="28"/>
                      </w:rPr>
                      <w:t>10</w:t>
                    </w:r>
                    <w:r>
                      <w:rPr>
                        <w:sz w:val="28"/>
                      </w:rPr>
                      <w:fldChar w:fldCharType="end"/>
                    </w:r>
                    <w:r>
                      <w:rPr>
                        <w:sz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17220" cy="614680"/>
              <wp:effectExtent l="0" t="0" r="0" b="0"/>
              <wp:wrapNone/>
              <wp:docPr id="2" name="Frame1"/>
              <a:graphic xmlns:a="http://schemas.openxmlformats.org/drawingml/2006/main">
                <a:graphicData uri="http://schemas.microsoft.com/office/word/2010/wordprocessingShape">
                  <wps:wsp>
                    <wps:cNvSpPr txBox="1"/>
                    <wps:spPr>
                      <a:xfrm>
                        <a:off x="0" y="0"/>
                        <a:ext cx="617220" cy="61468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pPr>
                          <w:r>
                            <w:rPr>
                              <w:sz w:val="28"/>
                            </w:rPr>
                            <w:t xml:space="preserve">— </w:t>
                          </w:r>
                          <w:r>
                            <w:rPr>
                              <w:sz w:val="28"/>
                            </w:rPr>
                            <w:fldChar w:fldCharType="begin"/>
                          </w:r>
                          <w:r>
                            <w:rPr>
                              <w:sz w:val="28"/>
                            </w:rPr>
                            <w:instrText xml:space="preserve"> PAGE </w:instrText>
                          </w:r>
                          <w:r>
                            <w:rPr>
                              <w:sz w:val="28"/>
                            </w:rPr>
                            <w:fldChar w:fldCharType="separate"/>
                          </w:r>
                          <w:r>
                            <w:rPr>
                              <w:sz w:val="28"/>
                            </w:rPr>
                            <w:t>11</w:t>
                          </w:r>
                          <w:r>
                            <w:rPr>
                              <w:sz w:val="28"/>
                            </w:rPr>
                            <w:fldChar w:fldCharType="end"/>
                          </w:r>
                          <w:r>
                            <w:rPr>
                              <w:sz w:val="28"/>
                            </w:rPr>
                            <w:t xml:space="preserve"> —</w:t>
                          </w:r>
                        </w:p>
                      </w:txbxContent>
                    </wps:txbx>
                    <wps:bodyPr anchor="t" lIns="635" tIns="635" rIns="635" bIns="635">
                      <a:spAutoFit/>
                    </wps:bodyPr>
                  </wps:wsp>
                </a:graphicData>
              </a:graphic>
            </wp:anchor>
          </w:drawing>
        </mc:Choice>
        <mc:Fallback>
          <w:pict>
            <v:rect fillcolor="#FFFFFF" style="position:absolute;rotation:-0;width:48.6pt;height:48.4pt;mso-wrap-distance-left:9.05pt;mso-wrap-distance-right:0pt;mso-wrap-distance-top:0pt;mso-wrap-distance-bottom:0pt;margin-top:0pt;mso-position-vertical-relative:text;margin-left:393.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pPr>
                    <w:r>
                      <w:rPr>
                        <w:sz w:val="28"/>
                      </w:rPr>
                      <w:t xml:space="preserve">— </w:t>
                    </w:r>
                    <w:r>
                      <w:rPr>
                        <w:sz w:val="28"/>
                      </w:rPr>
                      <w:fldChar w:fldCharType="begin"/>
                    </w:r>
                    <w:r>
                      <w:rPr>
                        <w:sz w:val="28"/>
                      </w:rPr>
                      <w:instrText xml:space="preserve"> PAGE </w:instrText>
                    </w:r>
                    <w:r>
                      <w:rPr>
                        <w:sz w:val="28"/>
                      </w:rPr>
                      <w:fldChar w:fldCharType="separate"/>
                    </w:r>
                    <w:r>
                      <w:rPr>
                        <w:sz w:val="28"/>
                      </w:rPr>
                      <w:t>11</w:t>
                    </w:r>
                    <w:r>
                      <w:rPr>
                        <w:sz w:val="28"/>
                      </w:rPr>
                      <w:fldChar w:fldCharType="end"/>
                    </w:r>
                    <w:r>
                      <w:rPr>
                        <w:sz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215" w:hanging="121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87"/>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1z0">
    <w:name w:val="WW8Num1z0"/>
    <w:qFormat/>
    <w:rPr/>
  </w:style>
  <w:style w:type="character" w:styleId="Style13">
    <w:name w:val="默认段落字体"/>
    <w:qFormat/>
    <w:rPr/>
  </w:style>
  <w:style w:type="character" w:styleId="CharChar">
    <w:name w:val="纯文本 Char Char"/>
    <w:qFormat/>
    <w:rPr>
      <w:rFonts w:ascii="宋体" w:hAnsi="宋体" w:cs="Courier New"/>
      <w:kern w:val="2"/>
      <w:sz w:val="21"/>
      <w:szCs w:val="21"/>
    </w:rPr>
  </w:style>
  <w:style w:type="character" w:styleId="CharChar1">
    <w:name w:val="页脚 Char Char"/>
    <w:qFormat/>
    <w:rPr>
      <w:rFonts w:eastAsia="仿宋_GB2312;仿宋"/>
      <w:kern w:val="2"/>
      <w:sz w:val="18"/>
      <w:szCs w:val="18"/>
    </w:rPr>
  </w:style>
  <w:style w:type="character" w:styleId="CharChar2">
    <w:name w:val="页眉 Char Char"/>
    <w:qFormat/>
    <w:rPr>
      <w:rFonts w:eastAsia="仿宋_GB2312;仿宋"/>
      <w:kern w:val="2"/>
      <w:sz w:val="18"/>
      <w:szCs w:val="18"/>
    </w:rPr>
  </w:style>
  <w:style w:type="character" w:styleId="PageNumber">
    <w:name w:val="page number"/>
    <w:basedOn w:val="Style13"/>
    <w:rPr/>
  </w:style>
  <w:style w:type="character" w:styleId="Hyperlink">
    <w:name w:val="Hyperlink"/>
    <w:rPr>
      <w:rFonts w:ascii="ˎ̥;微软雅黑" w:hAnsi="ˎ̥;微软雅黑" w:cs="ˎ̥;微软雅黑"/>
      <w:strike w:val="false"/>
      <w:dstrike w:val="false"/>
      <w:color w:val="0404B3"/>
      <w:sz w:val="18"/>
      <w:szCs w:val="18"/>
      <w:u w:val="none"/>
    </w:rPr>
  </w:style>
  <w:style w:type="character" w:styleId="2Char">
    <w:name w:val="样式2 Char"/>
    <w:qFormat/>
    <w:rPr>
      <w:rFonts w:ascii="仿宋_GB2312;仿宋" w:hAnsi="仿宋_GB2312;仿宋" w:eastAsia="仿宋_GB2312;仿宋" w:cs="Arial" w:hint="eastAsia"/>
      <w:kern w:val="0"/>
      <w:szCs w:val="32"/>
    </w:rPr>
  </w:style>
  <w:style w:type="character" w:styleId="1Char">
    <w:name w:val="样式1 Char"/>
    <w:qFormat/>
    <w:rPr>
      <w:rFonts w:ascii="黑体" w:hAnsi="黑体" w:eastAsia="黑体" w:cs="Arial" w:hint="eastAsia"/>
      <w:kern w:val="0"/>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kern w:val="2"/>
      <w:sz w:val="21"/>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仿宋_GB2312;仿宋"/>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仿宋_GB2312;仿宋"/>
      <w:kern w:val="2"/>
      <w:sz w:val="18"/>
      <w:szCs w:val="18"/>
    </w:rPr>
  </w:style>
  <w:style w:type="paragraph" w:styleId="2">
    <w:name w:val="样式2"/>
    <w:basedOn w:val="Normal"/>
    <w:qFormat/>
    <w:pPr>
      <w:widowControl/>
      <w:spacing w:lineRule="atLeast" w:line="300"/>
      <w:ind w:firstLineChars="200" w:startChars="0" w:start="0" w:endChars="0" w:end="0"/>
    </w:pPr>
    <w:rPr>
      <w:rFonts w:ascii="仿宋_GB2312;仿宋" w:hAnsi="仿宋_GB2312;仿宋" w:eastAsia="仿宋_GB2312;仿宋" w:cs="Arial" w:hint="eastAsia"/>
      <w:kern w:val="0"/>
      <w:szCs w:val="32"/>
    </w:rPr>
  </w:style>
  <w:style w:type="paragraph" w:styleId="Style17">
    <w:name w:val="列出段落"/>
    <w:basedOn w:val="Normal"/>
    <w:qFormat/>
    <w:pPr>
      <w:ind w:firstLineChars="200" w:startChars="0" w:start="0" w:endChars="0" w:end="0"/>
    </w:pPr>
    <w:rPr>
      <w:rFonts w:ascii="Calibri" w:hAnsi="Calibri" w:eastAsia="宋体" w:cs="Calibri"/>
      <w:sz w:val="21"/>
      <w:szCs w:val="22"/>
    </w:rPr>
  </w:style>
  <w:style w:type="paragraph" w:styleId="1">
    <w:name w:val="样式1"/>
    <w:basedOn w:val="Normal"/>
    <w:qFormat/>
    <w:pPr>
      <w:widowControl/>
      <w:spacing w:lineRule="atLeast" w:line="300"/>
      <w:ind w:firstLineChars="200" w:startChars="0" w:start="0" w:endChars="0" w:end="0"/>
    </w:pPr>
    <w:rPr>
      <w:rFonts w:ascii="黑体" w:hAnsi="黑体" w:eastAsia="黑体" w:cs="Arial" w:hint="eastAsia"/>
      <w:kern w:val="0"/>
      <w:szCs w:val="32"/>
    </w:rPr>
  </w:style>
  <w:style w:type="paragraph" w:styleId="3">
    <w:name w:val="样式3"/>
    <w:basedOn w:val="Normal"/>
    <w:qFormat/>
    <w:pPr>
      <w:widowControl/>
      <w:spacing w:lineRule="atLeast" w:line="300"/>
    </w:pPr>
    <w:rPr>
      <w:rFonts w:ascii="黑体" w:hAnsi="黑体" w:eastAsia="黑体" w:cs="Arial" w:hint="eastAsia"/>
      <w:bCs/>
      <w:kern w:val="0"/>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X</cp:lastModifiedBy>
  <cp:lastPrinted>2018-06-11T15:13:00Z</cp:lastPrinted>
  <dcterms:modified xsi:type="dcterms:W3CDTF">2021-06-21T15:48:31Z</dcterms:modified>
  <cp:revision>13</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AAC9DA0C07034D7A903B85DC0ACE4346</vt:lpwstr>
  </property>
  <property fmtid="{D5CDD505-2E9C-101B-9397-08002B2CF9AE}" pid="3" name="KSOProductBuildVer">
    <vt:lpwstr>2052-11.1.0.10495</vt:lpwstr>
  </property>
</Properties>
</file>