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tLeast" w:line="760" w:before="0" w:after="0"/>
        <w:ind w:firstLineChars="0" w:firstLine="0" w:startChars="0" w:start="0" w:endChars="0" w:end="0"/>
        <w:jc w:val="center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44"/>
          <w:szCs w:val="44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44"/>
          <w:szCs w:val="44"/>
        </w:rPr>
        <w:t>四平市城市供热条例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Chars="200" w:startChars="0" w:start="0" w:endChars="0" w:end="0"/>
        <w:jc w:val="both"/>
        <w:textAlignment w:val="auto"/>
        <w:rPr>
          <w:rStyle w:val="NormalCharacter"/>
          <w:rFonts w:ascii="楷体" w:hAnsi="楷体" w:eastAsia="楷体_GB2312" w:cs="楷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40"/>
        <w:ind w:firstLineChars="200" w:startChars="0" w:start="0" w:endChars="0" w:end="0"/>
        <w:jc w:val="both"/>
        <w:textAlignment w:val="auto"/>
        <w:rPr>
          <w:rFonts w:ascii="楷体" w:hAnsi="楷体" w:eastAsia="楷体_GB2312" w:cs="楷体"/>
          <w:sz w:val="32"/>
          <w:szCs w:val="32"/>
        </w:rPr>
      </w:pPr>
      <w:r>
        <w:rPr>
          <w:rFonts w:ascii="楷体" w:hAnsi="楷体" w:cs="楷体" w:hint="eastAsia" w:eastAsia="楷体_GB2312"/>
          <w:sz w:val="32"/>
          <w:szCs w:val="32"/>
        </w:rPr>
        <w:t>（</w:t>
      </w:r>
      <w:r>
        <w:rPr>
          <w:rFonts w:eastAsia="楷体_GB2312" w:cs="楷体" w:hint="eastAsia" w:ascii="楷体" w:hAnsi="楷体"/>
          <w:sz w:val="32"/>
          <w:szCs w:val="32"/>
        </w:rPr>
        <w:t>2022</w:t>
      </w:r>
      <w:r>
        <w:rPr>
          <w:rFonts w:ascii="楷体" w:hAnsi="楷体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" w:hAnsi="楷体"/>
          <w:sz w:val="32"/>
          <w:szCs w:val="32"/>
        </w:rPr>
        <w:t>7</w:t>
      </w:r>
      <w:r>
        <w:rPr>
          <w:rFonts w:ascii="楷体" w:hAnsi="楷体" w:cs="楷体" w:hint="eastAsia" w:eastAsia="楷体_GB2312"/>
          <w:sz w:val="32"/>
          <w:szCs w:val="32"/>
        </w:rPr>
        <w:t>月</w:t>
      </w:r>
      <w:r>
        <w:rPr>
          <w:rFonts w:eastAsia="楷体_GB2312" w:cs="楷体" w:hint="eastAsia" w:ascii="楷体" w:hAnsi="楷体"/>
          <w:sz w:val="32"/>
          <w:szCs w:val="32"/>
        </w:rPr>
        <w:t>29</w:t>
      </w:r>
      <w:r>
        <w:rPr>
          <w:rFonts w:ascii="楷体" w:hAnsi="楷体" w:cs="楷体" w:hint="eastAsia" w:eastAsia="楷体_GB2312"/>
          <w:sz w:val="32"/>
          <w:szCs w:val="32"/>
        </w:rPr>
        <w:t xml:space="preserve">日四平市第九届人民代表大会常务委员会第三次会议通过 </w:t>
      </w:r>
      <w:r>
        <w:rPr>
          <w:rFonts w:eastAsia="楷体_GB2312" w:cs="楷体" w:hint="eastAsia" w:ascii="楷体" w:hAnsi="楷体"/>
          <w:sz w:val="32"/>
          <w:szCs w:val="32"/>
        </w:rPr>
        <w:t>2022</w:t>
      </w:r>
      <w:r>
        <w:rPr>
          <w:rFonts w:ascii="楷体" w:hAnsi="楷体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" w:hAnsi="楷体"/>
          <w:sz w:val="32"/>
          <w:szCs w:val="32"/>
        </w:rPr>
        <w:t>9</w:t>
      </w:r>
      <w:r>
        <w:rPr>
          <w:rFonts w:ascii="楷体" w:hAnsi="楷体" w:cs="楷体" w:hint="eastAsia" w:eastAsia="楷体_GB2312"/>
          <w:sz w:val="32"/>
          <w:szCs w:val="32"/>
        </w:rPr>
        <w:t>月</w:t>
      </w:r>
      <w:r>
        <w:rPr>
          <w:rFonts w:eastAsia="楷体_GB2312" w:cs="楷体" w:hint="eastAsia" w:ascii="楷体" w:hAnsi="楷体"/>
          <w:sz w:val="32"/>
          <w:szCs w:val="32"/>
        </w:rPr>
        <w:t>28</w:t>
      </w:r>
      <w:r>
        <w:rPr>
          <w:rFonts w:ascii="楷体" w:hAnsi="楷体" w:cs="楷体" w:hint="eastAsia" w:eastAsia="楷体_GB2312"/>
          <w:sz w:val="32"/>
          <w:szCs w:val="32"/>
        </w:rPr>
        <w:t>日吉林省第十三届人民代表大会常务委员会第三十六次会议批准）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jc w:val="both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Fonts w:eastAsia="楷体_GB2312" w:cs="黑体" w:ascii="楷体" w:hAnsi="楷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jc w:val="center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第一章 总则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第一条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为加强城市供热用热管理，规范供热用热行为，保障和改善民生，根据有关法律法规，结合本市实际，制定本条例。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本市行政区域内供热用热及相关管理活动适用本条例。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第三条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城市供热应当坚持政府主导、企业经营、社会参与、保障安全、节能环保的原则。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第四条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市、县（市）人民政府应当将城市供热纳入国民经济和社会发展规划，优先发展集中供热，建立完善的供热保障体系和管理协调机制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,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提高供热保障能力。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iCs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第五条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市、县（市）人民政府确定的城市供热主管部门（以下简称供热主管部门）负责供热及相关活动的监督管理工作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iCs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其他有关部门应当按照各自职责，做好城市供热相关工作。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end="0"/>
        <w:jc w:val="center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第二章 规划与建设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第六条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供热主管部门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应当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会同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自然资源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等部门依据国土空间总体规划，按照合理布局、统筹安排的原则，编制城市供热专项规划，经本级人民政府批准后实施，并应当依据城市供热专项规划，统筹安排热源建设、热量分配和管网布局，明确供热区域和供热方式，加强供热工程和设施工程质量监督和档案管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第七条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自然资源主管部门应当依据城市供热专项规划，预留供热设施配套建设用地，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将供热设施建设纳入规划条件核实范围。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供热设施建设未经核实或者经核实不符合规划条件的，建设单位不得组织竣工验收。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第八条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新建、改建、扩建供热工程和设施，应当符合城市供热专项规划，并依法履行基本建设程序；属于配套建设的供热工程和设施应当与主体工程同时设计、同时施工、同时验收。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第九条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新建配套供热设施，建设单位应当按照与热经营企业协商确定的供热参数等，委托设计单位按照下列要求编制设计方案：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（一）与供热面积相适应；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（二）符合国家、省制定的建筑节能要求和供热系统节能标准；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（三）实行分户控制。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新建、改建、扩建城市道路，应当依据城市供热专项规划、详细规划同时设计和敷设供热管线。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第十一条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建设单位组织工程竣工验收时，可以通知热经营企业参加有关供热工程和设施的验收。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供热工程和设施未经验收或者验收不合格的，不得接入城市集中供热管网。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第十二条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在城市集中供热管网覆盖区域内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,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不得新建分散燃煤供热锅炉。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end="0"/>
        <w:jc w:val="center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第三章 供热与用热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第十三条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本市供热期为当年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10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月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25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日零时至次年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4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月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5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日二十四时；市、县（市）人民政府应当根据气温变化情况适当调整供热起止期。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因调整供热起止期致使热经营企业超期供热的，市、县（市）人民政府应当给予热经营企业适当补偿。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第十四条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推行安装使用热量表，实行基本热价和计量热价相结合的两部制热价。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供热价格由市或县（市）人民政府依法、科学、合理制定并适时进行调整。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热生产企业和热经营企业不得擅自提高或变相提高供热价格。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第十五条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鼓励热生产企业、热经营企业利用清洁能源和可再生能源，推广使用新技术、新工艺、新材料和新设备，提高热源生产效率，安全稳定提供热量，在供热期优先保障供热需求。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第十六条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热经营企业应当在取得供热经营许可后，按照批准的供热区域和供热方式供热；热经营企业供热能力不能满足用热需求时，供热主管部门应当及时调整其供热区域。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采用热电联产热源的热经营企业应当按照有关规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-20"/>
          <w:w w:val="100"/>
          <w:kern w:val="2"/>
          <w:sz w:val="32"/>
          <w:szCs w:val="32"/>
        </w:rPr>
        <w:t>定配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套建设调峰锅炉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,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保证热源稳定。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exact" w:line="600" w:before="0" w:after="0"/>
        <w:ind w:firstLineChars="200" w:startChars="0" w:start="0" w:endChars="0" w:end="0"/>
        <w:jc w:val="both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第十七条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</w:t>
      </w:r>
      <w:r>
        <w:rPr>
          <w:rFonts w:ascii="仿宋" w:hAnsi="仿宋" w:cs="仿宋" w:hint="eastAsia" w:eastAsia="仿宋"/>
          <w:color w:val="000000"/>
          <w:sz w:val="32"/>
          <w:szCs w:val="32"/>
        </w:rPr>
        <w:t>热用户应当按照供热合同约定向热经营企业交纳热费。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contextualSpacing/>
        <w:jc w:val="both"/>
        <w:textAlignment w:val="auto"/>
        <w:rPr>
          <w:rFonts w:ascii="仿宋" w:hAnsi="仿宋" w:eastAsia="仿宋" w:cs="仿宋" w:hint="eastAsia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第十八条 </w:t>
      </w:r>
      <w:r>
        <w:rPr>
          <w:rFonts w:ascii="仿宋" w:hAnsi="仿宋" w:cs="仿宋" w:hint="eastAsia" w:eastAsia="仿宋"/>
          <w:kern w:val="2"/>
          <w:sz w:val="32"/>
          <w:szCs w:val="32"/>
          <w:lang w:bidi="ar"/>
        </w:rPr>
        <w:t>新建住宅商品房供热设施保修期首个供热期应当正常用热，热费由房屋开发单位统一缴纳。但购房者办理房屋入住手续之后的热费由购房者负担。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contextualSpacing/>
        <w:jc w:val="both"/>
        <w:textAlignment w:val="auto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第十九条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供热期内，居民热用户卧室、起居室温度不得低于二十摄氏度；非居民热用户室内温度按照国家现行规范规定或合同约定执行。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第二十条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热用户室内温度低于二十摄氏度的，可以向热经营企业提出测温申请。经两次（间隔不少于五天）检测低于标准的视为供热不达标。具体测温方法按照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iCs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《吉林省采暖室内空气温度检测方法》的规定执行。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经实际检测居民热用户温度不达标的，热经营企业应当按下列规定向热用户退还当月热费：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contextualSpacing/>
        <w:jc w:val="both"/>
        <w:textAlignment w:val="auto"/>
        <w:rPr>
          <w:rFonts w:ascii="仿宋" w:hAnsi="仿宋" w:eastAsia="仿宋" w:cs="仿宋" w:hint="eastAsia"/>
          <w:b w:val="false"/>
          <w:bCs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b w:val="false"/>
          <w:bCs/>
          <w:color w:val="000000"/>
          <w:sz w:val="32"/>
          <w:szCs w:val="32"/>
        </w:rPr>
        <w:t>（一）温度为二十至十八摄氏度（不含二十摄氏度），退还百分之十五；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contextualSpacing/>
        <w:jc w:val="both"/>
        <w:textAlignment w:val="auto"/>
        <w:rPr>
          <w:rFonts w:ascii="仿宋" w:hAnsi="仿宋" w:eastAsia="仿宋" w:cs="仿宋" w:hint="eastAsia"/>
          <w:b w:val="false"/>
          <w:bCs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b w:val="false"/>
          <w:bCs/>
          <w:color w:val="000000"/>
          <w:sz w:val="32"/>
          <w:szCs w:val="32"/>
        </w:rPr>
        <w:t>（二）温度为十八至十六摄氏度（不含十八摄氏度），退还百分之四十；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contextualSpacing/>
        <w:jc w:val="both"/>
        <w:textAlignment w:val="auto"/>
        <w:rPr>
          <w:rFonts w:ascii="仿宋" w:hAnsi="仿宋" w:eastAsia="仿宋" w:cs="仿宋" w:hint="eastAsia"/>
          <w:b w:val="false"/>
          <w:bCs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b w:val="false"/>
          <w:bCs/>
          <w:color w:val="000000"/>
          <w:sz w:val="32"/>
          <w:szCs w:val="32"/>
        </w:rPr>
        <w:t>（三）温度为十六至十四摄氏度（不含十六摄氏度），退还百分之七十；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contextualSpacing/>
        <w:jc w:val="both"/>
        <w:textAlignment w:val="auto"/>
        <w:rPr>
          <w:rFonts w:ascii="仿宋" w:hAnsi="仿宋" w:eastAsia="仿宋" w:cs="仿宋" w:hint="eastAsia"/>
          <w:b w:val="false"/>
          <w:bCs/>
          <w:color w:val="000000"/>
          <w:sz w:val="32"/>
          <w:szCs w:val="32"/>
        </w:rPr>
      </w:pPr>
      <w:r>
        <w:rPr>
          <w:rFonts w:ascii="仿宋" w:hAnsi="仿宋" w:cs="仿宋" w:hint="eastAsia" w:eastAsia="仿宋"/>
          <w:b w:val="false"/>
          <w:bCs/>
          <w:color w:val="000000"/>
          <w:sz w:val="32"/>
          <w:szCs w:val="32"/>
        </w:rPr>
        <w:t>（四）温度为十四摄氏度以下（不含十四摄氏度），退还百分之百。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第二十一条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经实际检测居民热用户温度不达标但有下列情形之一的，热经营企业可以不予退还热费：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（一）室内装修或者其他设施严重遮挡散热器，影响供热效果的；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（二）铺设、安装室内供热设施不符合技术规程或者设计标准的；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Fonts w:hint="eastAsia"/>
          <w:b w:val="false"/>
          <w:bCs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（三）其他法律法规规定或者约定不予退还热费的情形。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第二十二条 </w:t>
      </w:r>
      <w:r>
        <w:rPr>
          <w:rStyle w:val="NormalCharacter"/>
          <w:rFonts w:ascii="仿宋" w:hAnsi="仿宋" w:cs="仿宋" w:hint="eastAsia" w:eastAsia="仿宋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热用户要求停止供热的，应当到热经营企业办理停止供热手续</w:t>
      </w:r>
      <w:r>
        <w:rPr>
          <w:rStyle w:val="NormalCharacter"/>
          <w:rFonts w:ascii="仿宋" w:hAnsi="仿宋" w:cs="仿宋" w:hint="eastAsia" w:eastAsia="仿宋"/>
          <w:b w:val="false"/>
          <w:bCs w:val="false"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。但</w:t>
      </w:r>
      <w:r>
        <w:rPr>
          <w:rStyle w:val="NormalCharacter"/>
          <w:rFonts w:ascii="仿宋" w:hAnsi="仿宋" w:cs="仿宋" w:hint="eastAsia" w:eastAsia="仿宋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新建建筑在供热设施保修期</w:t>
      </w:r>
      <w:r>
        <w:rPr>
          <w:rStyle w:val="NormalCharacter"/>
          <w:rFonts w:ascii="仿宋" w:hAnsi="仿宋" w:cs="仿宋" w:hint="eastAsia" w:eastAsia="仿宋"/>
          <w:b w:val="false"/>
          <w:bCs w:val="false"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首个供热期</w:t>
      </w:r>
      <w:r>
        <w:rPr>
          <w:rStyle w:val="NormalCharacter"/>
          <w:rFonts w:ascii="仿宋" w:hAnsi="仿宋" w:cs="仿宋" w:hint="eastAsia" w:eastAsia="仿宋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内不予办理停止供热。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第二十三条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热经营企业不得有下列行为：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（一）擅自转让、出租供热经营项目；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（二）擅自将运行的主要供热设施变卖；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（三）擅自停业、歇业、弃管；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（四）擅自转让、移交、接管供热设施、供热区域；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（五）对供热设施不履行养护、维修和更新改造义务；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（六）供热设施不符合环保、节能、安全技术规范和标准要求；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（七）法律、法规禁止的其他行为。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第二十四条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热用户不得有下列行为：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386" w:leader="none"/>
        </w:tabs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（一）擅自增挂暖气片；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（二）擅自增加水循环设施；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（三）擅自排水放热；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="64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（四）擅自改变热用途；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="64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（五）阻碍热经营企业对供热设施进行维护、抢修和更新改造；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iCs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（六）法律、法规禁止的其他行为。</w:t>
      </w:r>
    </w:p>
    <w:p>
      <w:pPr>
        <w:pStyle w:val="HtmlNormal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第二十五条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 xml:space="preserve"> 热生产企业、热经营企业更新改造供热设施的，应当于每年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4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月底前向有关行业主管部门报备计划，并应当于每年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9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月底前完成工程施工。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第二十六条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住宅供热设施保修期内的保修责任由住宅施工单位负责，保修期外的管护责任按下列规定划分：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（一）已实行分户控制的，未验收移交的由产权单位负责；验收移交后入户阀门（含入户阀门）内的由热用户负责，入户阀门外的由热经营企业负责；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（二）未实行分户控制的，热用户建筑热力入口阀门及以外的由热经营企业负责，热用户建筑热力入口阀门内的由热用户负责。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非居民热用户供热设施的维修养护责任以用地红线为界。热经营企业和热用户另有约定的，从其约定。</w:t>
      </w:r>
    </w:p>
    <w:p>
      <w:pPr>
        <w:pStyle w:val="Html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第二十七条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 xml:space="preserve"> 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供热主管部门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应当建立健全供热服务规范与考核体系，对热经营企业履行责任和义务、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供热服务质量、用户满意率、收费管理、综合能耗指标和节能改造等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情况进行考核，并将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考核结果向社会公布。</w:t>
      </w:r>
    </w:p>
    <w:p>
      <w:pPr>
        <w:pStyle w:val="HtmlNormal"/>
        <w:keepNext w:val="false"/>
        <w:keepLines w:val="false"/>
        <w:pageBreakBefore w:val="false"/>
        <w:widowControl w:val="false"/>
        <w:pBdr/>
        <w:shd w:fill="FFFFFF" w:val="clear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>第二十八条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0"/>
          <w:sz w:val="32"/>
          <w:szCs w:val="32"/>
        </w:rPr>
        <w:t xml:space="preserve"> 热经营企业有下列情形之一的，经市或县（市）人民政府批准，供热主管部门应当及时组织应急接管，并在供热区域内公告：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（一）供热设施存在重大安全隐患，经有关部门催告，拒不消除的；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（二）供热设施发生重大故障或者事故，无法在规定期限内恢复供热的；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（三）擅自停业或者歇业的；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（四）无故中断供热持续四十八小时，或者缩短供热运行期的；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（五）热用户投诉量大，反映问题集中且属实，不能保证安全、稳定、连续供热的；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（六）资金、设备、技术力量等存在严重不足，影响供热秩序正常进行，对民生、社会造成重大影响，经有关部门催告拒不消除的；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（七）热经营企业申请被接管的；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（八）其他严重影响供热公共利益的。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end="0"/>
        <w:jc w:val="center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  <w:bdr w:val="single" w:sz="4" w:space="0" w:color="000000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第四章 法律责任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第二十九条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违反本条例第十六条第一款规定，热经营企业擅自变更供热区域或供热方式的，由城市管理行政执法部门责令限期改正；逾期未改正的，处一万元以上三万元以下罚款。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违反本条例第十六条第二款规定，采用热电联产热源的热经营企业未按照有关规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-20"/>
          <w:w w:val="100"/>
          <w:kern w:val="2"/>
          <w:sz w:val="32"/>
          <w:szCs w:val="32"/>
        </w:rPr>
        <w:t>定配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套建设调峰锅炉的，由城市管理行政执法部门责令限期改正；逾期未改正的，处二万元以上五万元以下罚款。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第三十条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违反本条例第二十条第二款规定，热经营企业不按规定标准向热用户退还热费的，由城市管理行政执法部门责令限期改正；逾期未改正的，处应退还热费二倍以上十倍以下罚款。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第三十一条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违反本条例第二十四条第五项规定，阻碍热经营企业对供热设施进行维护、抢修、更新改造的，由城市管理行政执法部门予以警告，责令改正；拒不改正的，对个人处三百元以上二千元以下罚款，对单位处三千元以上五千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第三十二条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违反本条例第二十三条、第二十四条第二项至第四项规定，按照《吉林省城市供热条例》有关规定执行。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 w:before="0" w:after="0"/>
        <w:ind w:end="0"/>
        <w:jc w:val="center"/>
        <w:textAlignment w:val="baseline"/>
        <w:rPr>
          <w:rStyle w:val="NormalCharacter"/>
          <w:rFonts w:ascii="黑体" w:hAnsi="黑体" w:eastAsia="黑体" w:cs="黑体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第五章 附则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0" w:after="0"/>
        <w:ind w:firstLineChars="200" w:startChars="0" w:start="0" w:endChars="0" w:end="0"/>
        <w:jc w:val="both"/>
        <w:textAlignment w:val="baseline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>
          <w:rStyle w:val="NormalCharacter"/>
          <w:rFonts w:ascii="黑体" w:hAnsi="黑体" w:cs="黑体" w:hint="eastAsia" w:eastAsia="黑体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第三十三条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 xml:space="preserve"> 本条例自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2022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年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10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月</w:t>
      </w:r>
      <w:r>
        <w:rPr>
          <w:rStyle w:val="NormalCharacter"/>
          <w:rFonts w:eastAsia="仿宋" w:cs="仿宋" w:hint="eastAsia" w:ascii="仿宋" w:hAnsi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1</w:t>
      </w:r>
      <w:r>
        <w:rPr>
          <w:rStyle w:val="NormalCharacter"/>
          <w:rFonts w:ascii="仿宋" w:hAnsi="仿宋" w:cs="仿宋" w:hint="eastAsia" w:eastAsia="仿宋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  <w:t>日起施行。</w:t>
      </w:r>
    </w:p>
    <w:p>
      <w:pPr>
        <w:pStyle w:val="Normal"/>
        <w:rPr>
          <w:rStyle w:val="NormalCharacter"/>
          <w:rFonts w:ascii="仿宋" w:hAnsi="仿宋" w:eastAsia="仿宋" w:cs="仿宋" w:hint="eastAsia"/>
          <w:b w:val="false"/>
          <w:bCs/>
          <w:i w:val="false"/>
          <w:caps w:val="false"/>
          <w:smallCaps w:val="false"/>
          <w:color w:val="000000"/>
          <w:spacing w:val="0"/>
          <w:w w:val="100"/>
          <w:kern w:val="2"/>
          <w:sz w:val="32"/>
          <w:szCs w:val="32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">
    <w:charset w:val="86"/>
    <w:family w:val="modern"/>
    <w:pitch w:val="default"/>
  </w:font>
  <w:font w:name="仿宋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TdmNjI2MDVlYWYwN2UyZjQyMzgyNzkxNTkyN2FmNz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exact" w:line="760" w:before="340" w:after="330"/>
      <w:outlineLvl w:val="0"/>
    </w:pPr>
    <w:rPr>
      <w:rFonts w:ascii="Calibri" w:hAnsi="Calibri" w:eastAsia="方正小标宋_GBK" w:cs="Times New Roman"/>
      <w:kern w:val="2"/>
      <w:sz w:val="44"/>
    </w:rPr>
  </w:style>
  <w:style w:type="character" w:styleId="Style13">
    <w:name w:val="默认段落字体"/>
    <w:qFormat/>
    <w:rPr/>
  </w:style>
  <w:style w:type="character" w:styleId="NormalCharacter">
    <w:name w:val="NormalCharacter"/>
    <w:qFormat/>
    <w:rPr>
      <w:rFonts w:ascii="Times New Roman" w:hAnsi="Times New Roman" w:eastAsia="宋体" w:cs="Times New Roman"/>
      <w:kern w:val="2"/>
      <w:sz w:val="21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tmlNormal">
    <w:name w:val="HtmlNormal"/>
    <w:basedOn w:val="Normal"/>
    <w:qFormat/>
    <w:pPr>
      <w:widowControl/>
      <w:spacing w:before="100" w:after="100"/>
      <w:jc w:val="start"/>
      <w:textAlignment w:val="baseline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dc:language>en-US</dc:language>
  <cp:lastModifiedBy>法工委</cp:lastModifiedBy>
  <dcterms:modified xsi:type="dcterms:W3CDTF">2022-10-21T14:40:46Z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CC7459FAA9F840DB88AE313F1401E61C</vt:lpwstr>
  </property>
  <property fmtid="{D5CDD505-2E9C-101B-9397-08002B2CF9AE}" pid="3" name="KSOProductBuildVer">
    <vt:lpwstr>2052-11.1.0.12598</vt:lpwstr>
  </property>
</Properties>
</file>