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0"/>
        <w:rPr/>
      </w:pPr>
      <w:r>
        <w:rPr/>
      </w:r>
    </w:p>
    <w:p>
      <w:pPr>
        <w:pStyle w:val="Normal"/>
        <w:snapToGrid w:val="false"/>
        <w:spacing w:lineRule="exact" w:line="570"/>
        <w:jc w:val="center"/>
        <w:rPr>
          <w:rFonts w:ascii="宋体" w:hAnsi="宋体" w:eastAsia="宋体" w:cs="方正大标宋简体;Arial Unicode MS" w:hint="eastAsia"/>
          <w:bCs/>
          <w:sz w:val="44"/>
          <w:szCs w:val="44"/>
        </w:rPr>
      </w:pPr>
      <w:r>
        <w:rPr>
          <w:rFonts w:ascii="宋体" w:hAnsi="宋体" w:cs="方正大标宋简体;Arial Unicode MS" w:hint="eastAsia" w:eastAsia="宋体"/>
          <w:bCs/>
          <w:sz w:val="44"/>
          <w:szCs w:val="44"/>
        </w:rPr>
        <w:t>厦门市人民代表大会常务委员会</w:t>
      </w:r>
    </w:p>
    <w:p>
      <w:pPr>
        <w:pStyle w:val="Normal"/>
        <w:snapToGrid w:val="false"/>
        <w:spacing w:lineRule="exact" w:line="570"/>
        <w:jc w:val="center"/>
        <w:rPr>
          <w:rFonts w:ascii="宋体" w:hAnsi="宋体" w:eastAsia="宋体" w:cs="方正大标宋简体;Arial Unicode MS" w:hint="eastAsia"/>
          <w:bCs/>
          <w:sz w:val="44"/>
          <w:szCs w:val="44"/>
        </w:rPr>
      </w:pPr>
      <w:r>
        <w:rPr>
          <w:rFonts w:ascii="宋体" w:hAnsi="宋体" w:cs="方正大标宋简体;Arial Unicode MS" w:hint="eastAsia" w:eastAsia="宋体"/>
          <w:bCs/>
          <w:sz w:val="44"/>
          <w:szCs w:val="44"/>
        </w:rPr>
        <w:t>关于市人民政府机构改革涉及厦门地方性法规规定的行政机关职责调整问题的决定</w:t>
      </w:r>
    </w:p>
    <w:p>
      <w:pPr>
        <w:pStyle w:val="Normal"/>
        <w:snapToGrid w:val="false"/>
        <w:spacing w:lineRule="exact" w:line="570"/>
        <w:jc w:val="center"/>
        <w:rPr>
          <w:rFonts w:ascii="楷体_GB2312;楷体" w:hAnsi="楷体_GB2312;楷体" w:eastAsia="楷体_GB2312;楷体" w:cs="方正仿宋简体;Arial Unicode MS" w:hint="eastAsia"/>
        </w:rPr>
      </w:pPr>
      <w:r>
        <w:rPr>
          <w:rFonts w:ascii="楷体_GB2312;楷体" w:hAnsi="楷体_GB2312;楷体" w:cs="方正仿宋简体;Arial Unicode MS" w:hint="eastAsia" w:eastAsia="楷体_GB2312;楷体"/>
        </w:rPr>
        <w:t>（</w:t>
      </w:r>
      <w:r>
        <w:rPr>
          <w:rFonts w:eastAsia="楷体_GB2312;楷体" w:cs="方正仿宋简体;Arial Unicode MS" w:hint="eastAsia" w:ascii="楷体_GB2312;楷体" w:hAnsi="楷体_GB2312;楷体"/>
        </w:rPr>
        <w:t>2019</w:t>
      </w:r>
      <w:r>
        <w:rPr>
          <w:rFonts w:ascii="楷体_GB2312;楷体" w:hAnsi="楷体_GB2312;楷体" w:cs="方正仿宋简体;Arial Unicode MS" w:hint="eastAsia" w:eastAsia="楷体_GB2312;楷体"/>
        </w:rPr>
        <w:t>年</w:t>
      </w:r>
      <w:r>
        <w:rPr>
          <w:rFonts w:eastAsia="楷体_GB2312;楷体" w:cs="方正仿宋简体;Arial Unicode MS" w:hint="eastAsia" w:ascii="楷体_GB2312;楷体" w:hAnsi="楷体_GB2312;楷体"/>
        </w:rPr>
        <w:t>3</w:t>
      </w:r>
      <w:r>
        <w:rPr>
          <w:rFonts w:ascii="楷体_GB2312;楷体" w:hAnsi="楷体_GB2312;楷体" w:cs="方正仿宋简体;Arial Unicode MS" w:hint="eastAsia" w:eastAsia="楷体_GB2312;楷体"/>
        </w:rPr>
        <w:t>月</w:t>
      </w:r>
      <w:r>
        <w:rPr>
          <w:rFonts w:eastAsia="楷体_GB2312;楷体" w:cs="方正仿宋简体;Arial Unicode MS" w:hint="eastAsia" w:ascii="楷体_GB2312;楷体" w:hAnsi="楷体_GB2312;楷体"/>
        </w:rPr>
        <w:t>11</w:t>
      </w:r>
      <w:r>
        <w:rPr>
          <w:rFonts w:ascii="楷体_GB2312;楷体" w:hAnsi="楷体_GB2312;楷体" w:cs="方正仿宋简体;Arial Unicode MS" w:hint="eastAsia" w:eastAsia="楷体_GB2312;楷体"/>
        </w:rPr>
        <w:t>日厦门市第十五届人民代表大会</w:t>
      </w:r>
    </w:p>
    <w:p>
      <w:pPr>
        <w:pStyle w:val="Normal"/>
        <w:snapToGrid w:val="false"/>
        <w:spacing w:lineRule="exact" w:line="570"/>
        <w:jc w:val="center"/>
        <w:rPr>
          <w:rFonts w:ascii="楷体_GB2312;楷体" w:hAnsi="楷体_GB2312;楷体" w:eastAsia="楷体_GB2312;楷体" w:cs="方正仿宋简体;Arial Unicode MS" w:hint="eastAsia"/>
        </w:rPr>
      </w:pPr>
      <w:r>
        <w:rPr>
          <w:rFonts w:ascii="楷体_GB2312;楷体" w:hAnsi="楷体_GB2312;楷体" w:cs="方正仿宋简体;Arial Unicode MS" w:hint="eastAsia" w:eastAsia="楷体_GB2312;楷体"/>
        </w:rPr>
        <w:t>常务委员会第二十三次会议通过）</w:t>
      </w:r>
    </w:p>
    <w:p>
      <w:pPr>
        <w:pStyle w:val="Normal"/>
        <w:tabs>
          <w:tab w:val="clear" w:pos="420"/>
          <w:tab w:val="left" w:pos="6855" w:leader="none"/>
        </w:tabs>
        <w:snapToGrid w:val="false"/>
        <w:spacing w:lineRule="exact" w:line="570"/>
        <w:ind w:firstLineChars="200" w:startChars="0" w:start="0" w:endChars="0" w:end="0"/>
        <w:rPr>
          <w:rFonts w:ascii="仿宋_GB2312;仿宋" w:hAnsi="仿宋_GB2312;仿宋" w:eastAsia="仿宋_GB2312;仿宋" w:cs="仿宋" w:hint="eastAsia"/>
        </w:rPr>
      </w:pPr>
      <w:r>
        <w:rPr>
          <w:rFonts w:eastAsia="仿宋_GB2312;仿宋" w:cs="仿宋" w:hint="eastAsia" w:ascii="仿宋_GB2312;仿宋" w:hAnsi="仿宋_GB2312;仿宋"/>
        </w:rPr>
        <w:tab/>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为了贯彻落实党的十九大和十九届二中、三中全会精神，按照《厦门市机构改革方案》确定的原则，平稳有序调整厦门地方性法规规定的行政机关职责和工作，确保行政机关依法履行职责、开展工作，推进国家机构设置和职能配置优化协同高效，现就市人民政府机构改革涉及厦门地方性法规规定的行政机关职责调整问题作出如下决定：</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一、现行厦门地方性法规规定的行政机关职责和工作，《厦门市机构改革方案》确定由组建后的行政机关或者划入职责的行政机关承担的，在有关厦门地方性法规规定尚未修改之前，调整适用有关厦门地方性法规规定，由组建后的行政机关或者划入职责的行政机关承担；相关职责尚未调整到位之前，由原承担该职责和工作的行政机关继续承担。</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区级行政机关承担厦门地方性法规规定的职责和工作需要进行调整的，按照前一款规定的原则执行。</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二、厦门地方性法规规定上级行政机关对下级行政机关负有管理监督指导等职责的，上级行政机关职责已调整到位、下级行政机关职责尚未调整到位的，由《厦门市机构改革方案》确定承担该职责的上级行政机关履行管理监督指导等职责。</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三、市人民代表大会及其常务委员会的决定、决议规定涉及行政机关职责和工作，需要进行调整的，按照本决定第一条、第二条规定一并调整。</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四、实施《厦门市机构改革方案》需要制定、修改厦门地方性法规，或者需要由市人民代表大会常务委员会作出相关决定的，市人民政府应当及时提出议案，依照法定程序提请审议。</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五、市、区人民政府及其有关部门应当精心组织，周密部署，确保行政机关履行法定职责、开展工作的连续性、稳定性、有效性，特别是做好涉及民生、应急、安全生产等重点领域工作。</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rPr>
      </w:pPr>
      <w:r>
        <w:rPr>
          <w:rFonts w:ascii="仿宋_GB2312;仿宋" w:hAnsi="仿宋_GB2312;仿宋" w:cs="仿宋" w:hint="eastAsia" w:eastAsia="仿宋_GB2312;仿宋"/>
          <w:color w:val="000000"/>
          <w:kern w:val="2"/>
          <w:sz w:val="32"/>
          <w:szCs w:val="32"/>
        </w:rPr>
        <w:t>六、本决定自</w:t>
      </w:r>
      <w:r>
        <w:rPr>
          <w:rFonts w:eastAsia="仿宋_GB2312;仿宋" w:cs="仿宋" w:hint="eastAsia" w:ascii="仿宋_GB2312;仿宋" w:hAnsi="仿宋_GB2312;仿宋"/>
          <w:color w:val="000000"/>
          <w:kern w:val="2"/>
          <w:sz w:val="32"/>
          <w:szCs w:val="32"/>
        </w:rPr>
        <w:t>2019</w:t>
      </w:r>
      <w:r>
        <w:rPr>
          <w:rFonts w:ascii="仿宋_GB2312;仿宋" w:hAnsi="仿宋_GB2312;仿宋" w:cs="仿宋" w:hint="eastAsia" w:eastAsia="仿宋_GB2312;仿宋"/>
          <w:color w:val="000000"/>
          <w:kern w:val="2"/>
          <w:sz w:val="32"/>
          <w:szCs w:val="32"/>
        </w:rPr>
        <w:t>年</w:t>
      </w:r>
      <w:r>
        <w:rPr>
          <w:rFonts w:eastAsia="仿宋_GB2312;仿宋" w:cs="仿宋" w:hint="eastAsia" w:ascii="仿宋_GB2312;仿宋" w:hAnsi="仿宋_GB2312;仿宋"/>
          <w:color w:val="000000"/>
          <w:kern w:val="2"/>
          <w:sz w:val="32"/>
          <w:szCs w:val="32"/>
        </w:rPr>
        <w:t>3</w:t>
      </w:r>
      <w:r>
        <w:rPr>
          <w:rFonts w:ascii="仿宋_GB2312;仿宋" w:hAnsi="仿宋_GB2312;仿宋" w:cs="仿宋" w:hint="eastAsia" w:eastAsia="仿宋_GB2312;仿宋"/>
          <w:color w:val="000000"/>
          <w:kern w:val="2"/>
          <w:sz w:val="32"/>
          <w:szCs w:val="32"/>
        </w:rPr>
        <w:t>月</w:t>
      </w:r>
      <w:r>
        <w:rPr>
          <w:rFonts w:eastAsia="仿宋_GB2312;仿宋" w:cs="仿宋" w:hint="eastAsia" w:ascii="仿宋_GB2312;仿宋" w:hAnsi="仿宋_GB2312;仿宋"/>
          <w:color w:val="000000"/>
          <w:kern w:val="2"/>
          <w:sz w:val="32"/>
          <w:szCs w:val="32"/>
        </w:rPr>
        <w:t>12</w:t>
      </w:r>
      <w:r>
        <w:rPr>
          <w:rFonts w:ascii="仿宋_GB2312;仿宋" w:hAnsi="仿宋_GB2312;仿宋" w:cs="仿宋" w:hint="eastAsia" w:eastAsia="仿宋_GB2312;仿宋"/>
          <w:color w:val="000000"/>
          <w:kern w:val="2"/>
          <w:sz w:val="32"/>
          <w:szCs w:val="32"/>
        </w:rPr>
        <w:t>日起施行。</w:t>
      </w:r>
    </w:p>
    <w:p>
      <w:pPr>
        <w:pStyle w:val="Style15"/>
        <w:shd w:fill="FFFFFF" w:val="clear"/>
        <w:spacing w:lineRule="exact" w:line="570" w:before="0" w:after="0"/>
        <w:ind w:firstLineChars="200" w:startChars="0" w:start="0" w:endChars="0" w:end="0"/>
        <w:rPr>
          <w:rFonts w:ascii="仿宋_GB2312;仿宋" w:hAnsi="仿宋_GB2312;仿宋" w:eastAsia="仿宋_GB2312;仿宋" w:cs="仿宋" w:hint="eastAsia"/>
          <w:color w:val="000000"/>
          <w:kern w:val="2"/>
          <w:sz w:val="32"/>
          <w:szCs w:val="32"/>
          <w:lang w:val="en-US" w:eastAsia="en-US"/>
        </w:rPr>
      </w:pPr>
      <w:r>
        <w:rPr>
          <w:rFonts w:eastAsia="仿宋_GB2312;仿宋" w:cs="仿宋" w:hint="eastAsia" w:ascii="仿宋_GB2312;仿宋" w:hAnsi="仿宋_GB2312;仿宋"/>
          <w:color w:val="000000"/>
          <w:kern w:val="2"/>
          <w:sz w:val="32"/>
          <w:szCs w:val="32"/>
          <w:lang w:val="en-US" w:eastAsia="en-US"/>
        </w:rPr>
        <mc:AlternateContent>
          <mc:Choice Requires="wps">
            <w:drawing>
              <wp:anchor distT="0" distB="0" distL="114935" distR="114935" simplePos="0" relativeHeight="4" behindDoc="0" locked="0" layoutInCell="0" allowOverlap="1">
                <wp:simplePos x="0" y="0"/>
                <wp:positionH relativeFrom="column">
                  <wp:posOffset>-193040</wp:posOffset>
                </wp:positionH>
                <wp:positionV relativeFrom="paragraph">
                  <wp:posOffset>211455</wp:posOffset>
                </wp:positionV>
                <wp:extent cx="1640840" cy="807720"/>
                <wp:effectExtent l="0" t="0" r="0" b="0"/>
                <wp:wrapSquare wrapText="bothSides"/>
                <wp:docPr id="1" name="矩形 10"/>
                <a:graphic xmlns:a="http://schemas.openxmlformats.org/drawingml/2006/main">
                  <a:graphicData uri="http://schemas.microsoft.com/office/word/2010/wordprocessingShape">
                    <wps:wsp>
                      <wps:cNvSpPr/>
                      <wps:spPr>
                        <a:xfrm>
                          <a:off x="0" y="0"/>
                          <a:ext cx="1640880" cy="80784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5.2pt;margin-top:16.65pt;width:129.15pt;height:63.55pt;mso-wrap-style:none;v-text-anchor:middle">
                <v:fill o:detectmouseclick="t" type="solid" color2="black"/>
                <v:stroke color="#3465a4" joinstyle="round" endcap="flat"/>
                <w10:wrap type="square"/>
              </v:rect>
            </w:pict>
          </mc:Fallback>
        </mc:AlternateContent>
      </w:r>
    </w:p>
    <w:sectPr>
      <w:footerReference w:type="even" r:id="rId2"/>
      <w:footerReference w:type="default" r:id="rId3"/>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auto"/>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2</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2</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3"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basedOn w:val="Style14"/>
    <w:qFormat/>
    <w:rPr>
      <w:b/>
      <w:bCs/>
    </w:rPr>
  </w:style>
  <w:style w:type="character" w:styleId="2Char">
    <w:name w:val="正文文本 2 Char"/>
    <w:basedOn w:val="Style14"/>
    <w:qFormat/>
    <w:rPr>
      <w:rFonts w:eastAsia="方正大标宋简体;Arial Unicode MS"/>
      <w:kern w:val="2"/>
      <w:sz w:val="36"/>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 w:hAnsi="宋体" w:eastAsia="宋体"/>
      <w:color w:val="000000"/>
      <w:sz w:val="24"/>
      <w:szCs w:val="24"/>
    </w:rPr>
  </w:style>
  <w:style w:type="paragraph" w:styleId="2">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Style16">
    <w:name w:val="批注框文本"/>
    <w:basedOn w:val="Normal"/>
    <w:qFormat/>
    <w:pPr/>
    <w:rPr>
      <w:sz w:val="18"/>
      <w:szCs w:val="18"/>
    </w:rPr>
  </w:style>
  <w:style w:type="paragraph" w:styleId="p0">
    <w:name w:val="p0"/>
    <w:basedOn w:val="Normal"/>
    <w:qFormat/>
    <w:pPr>
      <w:widowControl/>
    </w:pPr>
    <w:rPr>
      <w:rFonts w:ascii="Times New Roman" w:hAnsi="Times New Roman" w:eastAsia="宋体" w:cs="Times New Roman"/>
      <w:color w:val="000000"/>
    </w:rPr>
  </w:style>
  <w:style w:type="paragraph" w:styleId="Char">
    <w:name w:val="Char"/>
    <w:basedOn w:val="Normal"/>
    <w:qFormat/>
    <w:pPr/>
    <w:rPr>
      <w:rFonts w:ascii="Times New Roman" w:hAnsi="Times New Roman" w:eastAsia="宋体" w:cs="Times New Roman"/>
      <w:color w:val="000000"/>
      <w:kern w:val="2"/>
      <w:sz w:val="21"/>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2019-03-29T10:53:00Z</dcterms:created>
  <dc:creator>周福益</dc:creator>
  <dc:description/>
  <dc:language>en-US</dc:language>
  <cp:lastModifiedBy>dell</cp:lastModifiedBy>
  <cp:lastPrinted>2019-01-04T08:09:00Z</cp:lastPrinted>
  <dcterms:modified xsi:type="dcterms:W3CDTF">2019-03-29T16:06:50Z</dcterms:modified>
  <cp:revision>2</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