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70"/>
        <w:rPr>
          <w:rFonts w:eastAsia="方正小标宋简体;Arial Unicode MS" w:hint="eastAsia"/>
          <w:sz w:val="36"/>
          <w:szCs w:val="36"/>
        </w:rPr>
      </w:pPr>
      <w:r>
        <w:rPr>
          <w:rFonts w:eastAsia="方正小标宋简体;Arial Unicode MS" w:hint="eastAsia"/>
          <w:sz w:val="36"/>
          <w:szCs w:val="36"/>
        </w:rPr>
      </w:r>
    </w:p>
    <w:p>
      <w:pPr>
        <w:pStyle w:val="Normal"/>
        <w:spacing w:lineRule="exact" w:line="570"/>
        <w:jc w:val="center"/>
        <w:rPr>
          <w:rFonts w:ascii="宋体" w:hAnsi="宋体" w:eastAsia="宋体" w:hint="eastAsia"/>
          <w:sz w:val="44"/>
          <w:szCs w:val="44"/>
        </w:rPr>
      </w:pPr>
      <w:r>
        <w:rPr>
          <w:rFonts w:ascii="宋体" w:hAnsi="宋体" w:hint="eastAsia" w:eastAsia="宋体"/>
          <w:sz w:val="44"/>
          <w:szCs w:val="44"/>
        </w:rPr>
        <w:t>厦门市人民代表大会常务委员会关于修改</w:t>
      </w:r>
    </w:p>
    <w:p>
      <w:pPr>
        <w:pStyle w:val="Normal"/>
        <w:spacing w:lineRule="exact" w:line="570"/>
        <w:jc w:val="center"/>
        <w:rPr>
          <w:rFonts w:ascii="宋体" w:hAnsi="宋体" w:eastAsia="宋体" w:hint="eastAsia"/>
          <w:sz w:val="44"/>
          <w:szCs w:val="44"/>
        </w:rPr>
      </w:pPr>
      <w:r>
        <w:rPr>
          <w:rFonts w:ascii="宋体" w:hAnsi="宋体" w:hint="eastAsia" w:eastAsia="宋体"/>
          <w:sz w:val="44"/>
          <w:szCs w:val="44"/>
        </w:rPr>
        <w:t>《厦门经济特区道路交通安全若干规定》的决定</w:t>
      </w:r>
    </w:p>
    <w:p>
      <w:pPr>
        <w:pStyle w:val="Normal"/>
        <w:spacing w:lineRule="exact" w:line="570"/>
        <w:jc w:val="center"/>
        <w:rPr>
          <w:rFonts w:ascii="方正大标宋简体;Arial Unicode MS" w:hAnsi="方正大标宋简体;Arial Unicode MS" w:eastAsia="方正大标宋简体;Arial Unicode MS" w:hint="eastAsia"/>
          <w:sz w:val="44"/>
          <w:szCs w:val="44"/>
        </w:rPr>
      </w:pPr>
      <w:r>
        <w:rPr>
          <w:rFonts w:eastAsia="方正大标宋简体;Arial Unicode MS" w:hint="eastAsia" w:ascii="方正大标宋简体;Arial Unicode MS" w:hAnsi="方正大标宋简体;Arial Unicode MS"/>
          <w:sz w:val="44"/>
          <w:szCs w:val="44"/>
        </w:rPr>
      </w:r>
    </w:p>
    <w:p>
      <w:pPr>
        <w:pStyle w:val="Normal"/>
        <w:spacing w:lineRule="exact" w:line="570"/>
        <w:ind w:firstLineChars="0" w:firstLine="0" w:startChars="200" w:endChars="200"/>
        <w:rPr>
          <w:rFonts w:eastAsia="楷体_GB2312;楷体" w:hint="eastAsia"/>
        </w:rPr>
      </w:pPr>
      <w:r>
        <w:rPr>
          <w:rFonts w:eastAsia="楷体_GB2312;楷体"/>
        </w:rPr>
        <w:t>（</w:t>
      </w:r>
      <w:r>
        <w:rPr>
          <w:rFonts w:eastAsia="楷体_GB2312;楷体" w:cs="仿宋" w:hint="eastAsia" w:ascii="楷体_GB2312;楷体" w:hAnsi="楷体_GB2312;楷体"/>
        </w:rPr>
        <w:t>2020</w:t>
      </w:r>
      <w:r>
        <w:rPr>
          <w:rFonts w:ascii="楷体_GB2312;楷体" w:hAnsi="楷体_GB2312;楷体" w:cs="仿宋" w:hint="eastAsia" w:eastAsia="楷体_GB2312;楷体"/>
        </w:rPr>
        <w:t>年</w:t>
      </w:r>
      <w:r>
        <w:rPr>
          <w:rFonts w:eastAsia="楷体_GB2312;楷体" w:cs="仿宋" w:hint="eastAsia" w:ascii="楷体_GB2312;楷体" w:hAnsi="楷体_GB2312;楷体"/>
        </w:rPr>
        <w:t>4</w:t>
      </w:r>
      <w:r>
        <w:rPr>
          <w:rFonts w:ascii="楷体_GB2312;楷体" w:hAnsi="楷体_GB2312;楷体" w:cs="仿宋" w:hint="eastAsia" w:eastAsia="楷体_GB2312;楷体"/>
        </w:rPr>
        <w:t>月</w:t>
      </w:r>
      <w:r>
        <w:rPr>
          <w:rFonts w:eastAsia="楷体_GB2312;楷体" w:cs="仿宋" w:hint="eastAsia" w:ascii="楷体_GB2312;楷体" w:hAnsi="楷体_GB2312;楷体"/>
        </w:rPr>
        <w:t>22</w:t>
      </w:r>
      <w:r>
        <w:rPr>
          <w:rFonts w:ascii="楷体_GB2312;楷体" w:hAnsi="楷体_GB2312;楷体" w:cs="仿宋" w:hint="eastAsia" w:eastAsia="楷体_GB2312;楷体"/>
        </w:rPr>
        <w:t>日厦门市第十五届人民代表大会常务委员会第三十三次会议通过</w:t>
      </w:r>
      <w:r>
        <w:rPr>
          <w:rFonts w:eastAsia="楷体_GB2312;楷体"/>
        </w:rPr>
        <w:t>）</w:t>
      </w:r>
    </w:p>
    <w:p>
      <w:pPr>
        <w:pStyle w:val="Normal"/>
        <w:spacing w:lineRule="exact" w:line="570"/>
        <w:jc w:val="center"/>
        <w:rPr>
          <w:rFonts w:eastAsia="楷体_GB2312;楷体" w:hint="eastAsia"/>
        </w:rPr>
      </w:pPr>
      <w:r>
        <w:rPr>
          <w:rFonts w:eastAsia="楷体_GB2312;楷体" w:hint="eastAsia"/>
        </w:rPr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厦门市第十五届人民代表大会常务委员会第三十三次会议决定，对《厦门经济特区道路交通安全若干规定》作如下修改：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一、删去第七条。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二、将第十二条改为第十一条，第一款修改为：“</w:t>
      </w:r>
      <w:r>
        <w:rPr>
          <w:rFonts w:ascii="仿宋_GB2312;仿宋" w:hAnsi="仿宋_GB2312;仿宋" w:cs="仿宋_GB2312;仿宋" w:hint="eastAsia" w:eastAsia="仿宋_GB2312;仿宋"/>
          <w:spacing w:val="-2"/>
        </w:rPr>
        <w:t>在本市销售和登记的电动自行车应当符合国家标准。</w:t>
      </w:r>
      <w:r>
        <w:rPr>
          <w:rFonts w:ascii="仿宋_GB2312;仿宋" w:hAnsi="仿宋_GB2312;仿宋" w:cs="仿宋_GB2312;仿宋" w:hint="eastAsia" w:eastAsia="仿宋_GB2312;仿宋"/>
        </w:rPr>
        <w:t>”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三、将第二十一条改为第二十条，第一款第四项中的“</w:t>
      </w:r>
      <w:r>
        <w:rPr>
          <w:rFonts w:ascii="仿宋_GB2312;仿宋" w:hAnsi="仿宋_GB2312;仿宋" w:cs="仿宋_GB2312;仿宋" w:hint="eastAsia" w:eastAsia="仿宋_GB2312;仿宋"/>
          <w:bCs/>
        </w:rPr>
        <w:t>环保标识</w:t>
      </w:r>
      <w:r>
        <w:rPr>
          <w:rFonts w:ascii="仿宋_GB2312;仿宋" w:hAnsi="仿宋_GB2312;仿宋" w:cs="仿宋_GB2312;仿宋" w:hint="eastAsia" w:eastAsia="仿宋_GB2312;仿宋"/>
        </w:rPr>
        <w:t>”修改为“本市对机动车污染物排放的要求”。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四、将第二十三条改为第二十二条，增加一款作为第二款：“在用机动车噪声排放应当符合国家规定的限值标准。”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五、将第三十七条改为第三十六条，删去“并对机动车按照本规定记分”。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六、删去第四十二条。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七、</w:t>
      </w:r>
      <w:r>
        <w:rPr>
          <w:rFonts w:ascii="仿宋_GB2312;仿宋" w:hAnsi="仿宋_GB2312;仿宋" w:cs="仿宋_GB2312;仿宋" w:hint="eastAsia" w:eastAsia="仿宋_GB2312;仿宋"/>
          <w:spacing w:val="-2"/>
        </w:rPr>
        <w:t>增加</w:t>
      </w:r>
      <w:r>
        <w:rPr>
          <w:rFonts w:ascii="仿宋_GB2312;仿宋" w:hAnsi="仿宋_GB2312;仿宋" w:cs="仿宋_GB2312;仿宋" w:hint="eastAsia" w:eastAsia="仿宋_GB2312;仿宋"/>
        </w:rPr>
        <w:t>一条作为第四十四条：“</w:t>
      </w:r>
      <w:r>
        <w:rPr>
          <w:rFonts w:ascii="仿宋_GB2312;仿宋" w:hAnsi="仿宋_GB2312;仿宋" w:cs="仿宋_GB2312;仿宋" w:hint="eastAsia" w:eastAsia="仿宋_GB2312;仿宋"/>
          <w:spacing w:val="-4"/>
        </w:rPr>
        <w:t>在道路上使用平衡车、电动滑板车的，由公安机关交通管理部门处以警告或者二百元罚款。</w:t>
      </w:r>
      <w:r>
        <w:rPr>
          <w:rFonts w:ascii="仿宋_GB2312;仿宋" w:hAnsi="仿宋_GB2312;仿宋" w:cs="仿宋_GB2312;仿宋" w:hint="eastAsia" w:eastAsia="仿宋_GB2312;仿宋"/>
        </w:rPr>
        <w:t>”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八、将第四十七条改为第四十六条，增加一项作为第一款第五项：“观看视频或者以手持方式使用电话及其他电子设备的，处以二百元罚款”。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第一款第二项调整至第十六项，修改为：“在用机动车噪声超过国家限值标准的，处以一千元罚款。”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本决定自</w:t>
      </w:r>
      <w:r>
        <w:rPr>
          <w:rFonts w:eastAsia="仿宋_GB2312;仿宋" w:cs="仿宋_GB2312;仿宋" w:hint="eastAsia" w:ascii="仿宋_GB2312;仿宋" w:hAnsi="仿宋_GB2312;仿宋"/>
        </w:rPr>
        <w:t>2020</w:t>
      </w:r>
      <w:r>
        <w:rPr>
          <w:rFonts w:ascii="仿宋_GB2312;仿宋" w:hAnsi="仿宋_GB2312;仿宋" w:cs="仿宋_GB2312;仿宋" w:hint="eastAsia" w:eastAsia="仿宋_GB2312;仿宋"/>
        </w:rPr>
        <w:t>年</w:t>
      </w:r>
      <w:r>
        <w:rPr>
          <w:rFonts w:eastAsia="仿宋_GB2312;仿宋" w:cs="仿宋_GB2312;仿宋" w:hint="eastAsia" w:ascii="仿宋_GB2312;仿宋" w:hAnsi="仿宋_GB2312;仿宋"/>
        </w:rPr>
        <w:t>8</w:t>
      </w:r>
      <w:r>
        <w:rPr>
          <w:rFonts w:ascii="仿宋_GB2312;仿宋" w:hAnsi="仿宋_GB2312;仿宋" w:cs="仿宋_GB2312;仿宋" w:hint="eastAsia" w:eastAsia="仿宋_GB2312;仿宋"/>
        </w:rPr>
        <w:t>月</w:t>
      </w:r>
      <w:r>
        <w:rPr>
          <w:rFonts w:eastAsia="仿宋_GB2312;仿宋" w:cs="仿宋_GB2312;仿宋" w:hint="eastAsia" w:ascii="仿宋_GB2312;仿宋" w:hAnsi="仿宋_GB2312;仿宋"/>
        </w:rPr>
        <w:t>1</w:t>
      </w:r>
      <w:r>
        <w:rPr>
          <w:rFonts w:ascii="仿宋_GB2312;仿宋" w:hAnsi="仿宋_GB2312;仿宋" w:cs="仿宋_GB2312;仿宋" w:hint="eastAsia" w:eastAsia="仿宋_GB2312;仿宋"/>
        </w:rPr>
        <w:t>日起施行。</w:t>
      </w:r>
    </w:p>
    <w:p>
      <w:pPr>
        <w:pStyle w:val="Normal"/>
        <w:spacing w:lineRule="exact" w:line="570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</w:rPr>
      </w:pPr>
      <w:r>
        <w:rPr>
          <w:rFonts w:ascii="仿宋_GB2312;仿宋" w:hAnsi="仿宋_GB2312;仿宋" w:cs="仿宋_GB2312;仿宋" w:hint="eastAsia" w:eastAsia="仿宋_GB2312;仿宋"/>
        </w:rPr>
        <w:t>《厦门经济特区道路交通安全若干规定》根据本决定作相应修改并对条文顺序作相应调整，重新公布。</w:t>
      </w:r>
    </w:p>
    <w:p>
      <w:pPr>
        <w:pStyle w:val="Normal"/>
        <w:spacing w:lineRule="exact" w:line="20"/>
        <w:rPr>
          <w:rFonts w:ascii="仿宋_GB2312;仿宋" w:hAnsi="仿宋_GB2312;仿宋" w:eastAsia="仿宋_GB2312;仿宋" w:cs="仿宋_GB2312;仿宋" w:hint="eastAsia"/>
        </w:rPr>
      </w:pPr>
      <w:r>
        <w:rPr>
          <w:rFonts w:eastAsia="仿宋_GB2312;仿宋" w:cs="仿宋_GB2312;仿宋" w:hint="eastAsia" w:ascii="仿宋_GB2312;仿宋" w:hAnsi="仿宋_GB2312;仿宋"/>
        </w:rPr>
      </w:r>
    </w:p>
    <w:sectPr>
      <w:footerReference w:type="default" r:id="rId2"/>
      <w:type w:val="nextPage"/>
      <w:pgSz w:w="11906" w:h="16838"/>
      <w:pgMar w:left="1531" w:right="1531" w:gutter="0" w:header="0" w:top="2098" w:footer="1361" w:bottom="1984"/>
      <w:pgNumType w:fmt="decimal"/>
      <w:formProt w:val="false"/>
      <w:textDirection w:val="lrTb"/>
      <w:docGrid w:type="linesAndChars" w:linePitch="638" w:charSpace="42949640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仿宋简体">
    <w:altName w:val="Arial Unicode MS"/>
    <w:charset w:val="86"/>
    <w:family w:val="auto"/>
    <w:pitch w:val="default"/>
  </w:font>
  <w:font w:name="仿宋_GB2312">
    <w:altName w:val="仿宋"/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方正大标宋简体">
    <w:altName w:val="Arial Unicode MS"/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both"/>
      <w:rPr/>
    </w:pPr>
    <w:r>
      <w:rPr/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24841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841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center"/>
                            <w:rPr/>
                          </w:pPr>
                          <w:r>
                            <w:rPr>
                              <w:rStyle w:val="PageNumber"/>
                              <w:rFonts w:eastAsia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eastAsia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8.3pt;height:23.9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jc w:val="center"/>
                      <w:rPr/>
                    </w:pPr>
                    <w:r>
                      <w:rPr>
                        <w:rStyle w:val="PageNumber"/>
                        <w:rFonts w:eastAsia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t>2</w:t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eastAsia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方正仿宋简体;Arial Unicode MS" w:hAnsi="方正仿宋简体;Arial Unicode MS" w:eastAsia="方正仿宋简体;Arial Unicode MS" w:cs="宋体"/>
      <w:color w:val="000000"/>
      <w:sz w:val="32"/>
      <w:szCs w:val="32"/>
      <w:lang w:bidi="ar-SA" w:val="en-US" w:eastAsia="zh-CN"/>
    </w:rPr>
  </w:style>
  <w:style w:type="character" w:styleId="Style14">
    <w:name w:val="默认段落字体"/>
    <w:qFormat/>
    <w:rPr>
      <w:rFonts w:cs="Times New Roman"/>
      <w:color w:val="000000"/>
      <w:kern w:val="2"/>
    </w:rPr>
  </w:style>
  <w:style w:type="character" w:styleId="PageNumber">
    <w:name w:val="page number"/>
    <w:basedOn w:val="Style14"/>
    <w:rPr/>
  </w:style>
  <w:style w:type="character" w:styleId="GB2312Char">
    <w:name w:val="正文 + 仿宋_GB2312 Char"/>
    <w:basedOn w:val="Style14"/>
    <w:qFormat/>
    <w:rPr>
      <w:rFonts w:ascii="仿宋_GB2312;仿宋" w:hAnsi="仿宋_GB2312;仿宋" w:eastAsia="仿宋_GB2312;仿宋" w:cs="宋体"/>
      <w:kern w:val="2"/>
      <w:sz w:val="24"/>
      <w:szCs w:val="32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">
    <w:name w:val="正文文本 2"/>
    <w:basedOn w:val="Normal"/>
    <w:qFormat/>
    <w:pPr>
      <w:snapToGrid w:val="false"/>
      <w:jc w:val="center"/>
    </w:pPr>
    <w:rPr>
      <w:rFonts w:ascii="Times New Roman" w:hAnsi="Times New Roman" w:eastAsia="方正大标宋简体;Arial Unicode MS" w:cs="Times New Roman"/>
      <w:color w:val="000000"/>
      <w:kern w:val="2"/>
      <w:sz w:val="36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Times New Roman" w:hAnsi="Times New Roman" w:eastAsia="仿宋_GB2312;仿宋" w:cs="Times New Roman"/>
      <w:color w:val="000000"/>
      <w:kern w:val="2"/>
      <w:sz w:val="18"/>
      <w:szCs w:val="18"/>
    </w:rPr>
  </w:style>
  <w:style w:type="paragraph" w:styleId="CharChar1">
    <w:name w:val="Char Char1"/>
    <w:basedOn w:val="Normal"/>
    <w:qFormat/>
    <w:pPr/>
    <w:rPr>
      <w:rFonts w:cs="Times New Roman"/>
      <w:color w:val="000000"/>
      <w:kern w:val="2"/>
    </w:rPr>
  </w:style>
  <w:style w:type="paragraph" w:styleId="Char">
    <w:name w:val="Char"/>
    <w:basedOn w:val="Normal"/>
    <w:qFormat/>
    <w:pPr/>
    <w:rPr>
      <w:rFonts w:ascii="Times New Roman" w:hAnsi="Times New Roman" w:eastAsia="宋体" w:cs="Times New Roman"/>
      <w:color w:val="000000"/>
      <w:kern w:val="2"/>
      <w:sz w:val="21"/>
      <w:szCs w:val="24"/>
    </w:rPr>
  </w:style>
  <w:style w:type="paragraph" w:styleId="GB2312">
    <w:name w:val="正文 + 仿宋_GB2312"/>
    <w:basedOn w:val="Normal"/>
    <w:qFormat/>
    <w:pPr>
      <w:spacing w:lineRule="atLeast" w:line="240"/>
      <w:ind w:firstLineChars="200" w:startChars="0" w:start="0" w:endChars="0" w:end="0"/>
    </w:pPr>
    <w:rPr>
      <w:rFonts w:ascii="仿宋_GB2312;仿宋" w:hAnsi="仿宋_GB2312;仿宋" w:eastAsia="仿宋_GB2312;仿宋" w:cs="Times New Roman"/>
      <w:color w:val="000000"/>
      <w:kern w:val="2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2020-05-06T07:40:00Z</dcterms:created>
  <dc:creator>周福益</dc:creator>
  <dc:description/>
  <dc:language>en-US</dc:language>
  <cp:lastModifiedBy>dell</cp:lastModifiedBy>
  <cp:lastPrinted>2020-05-06T14:56:00Z</cp:lastPrinted>
  <dcterms:modified xsi:type="dcterms:W3CDTF">2020-05-21T16:27:49Z</dcterms:modified>
  <cp:revision>2</cp:revision>
  <dc:subject/>
  <dc:title>厦门市人民代表大会常务委员会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