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widowControl w:val="false"/>
        <w:shd w:fill="FFFFFF" w:val="clear"/>
        <w:spacing w:lineRule="exact" w:line="580" w:before="0" w:after="0"/>
        <w:ind w:hanging="0" w:start="0"/>
        <w:jc w:val="center"/>
        <w:rPr>
          <w:rFonts w:hint="eastAsia"/>
          <w:b w:val="false"/>
          <w:color w:val="000000"/>
          <w:sz w:val="32"/>
          <w:szCs w:val="32"/>
        </w:rPr>
      </w:pPr>
      <w:r>
        <w:rPr>
          <w:rFonts w:hint="eastAsia"/>
          <w:b w:val="false"/>
          <w:color w:val="000000"/>
          <w:sz w:val="32"/>
          <w:szCs w:val="32"/>
        </w:rPr>
      </w:r>
    </w:p>
    <w:p>
      <w:pPr>
        <w:pStyle w:val="Heading2"/>
        <w:widowControl w:val="false"/>
        <w:shd w:fill="FFFFFF" w:val="clear"/>
        <w:spacing w:lineRule="exact" w:line="580" w:before="0" w:after="0"/>
        <w:ind w:hanging="0" w:start="0"/>
        <w:jc w:val="center"/>
        <w:rPr>
          <w:rFonts w:hint="eastAsia"/>
          <w:b w:val="false"/>
          <w:color w:val="000000"/>
          <w:sz w:val="32"/>
          <w:szCs w:val="32"/>
        </w:rPr>
      </w:pPr>
      <w:r>
        <w:rPr>
          <w:rFonts w:hint="eastAsia"/>
          <w:b w:val="false"/>
          <w:color w:val="000000"/>
          <w:sz w:val="32"/>
          <w:szCs w:val="32"/>
        </w:rPr>
      </w:r>
    </w:p>
    <w:p>
      <w:pPr>
        <w:pStyle w:val="Heading2"/>
        <w:widowControl w:val="false"/>
        <w:shd w:fill="FFFFFF" w:val="clear"/>
        <w:spacing w:lineRule="exact" w:line="580" w:before="0" w:after="0"/>
        <w:ind w:hanging="0" w:start="0"/>
        <w:jc w:val="center"/>
        <w:rPr>
          <w:rFonts w:hint="eastAsia"/>
          <w:b w:val="false"/>
          <w:color w:val="000000"/>
          <w:sz w:val="44"/>
          <w:szCs w:val="44"/>
        </w:rPr>
      </w:pPr>
      <w:r>
        <w:rPr>
          <w:rFonts w:hint="eastAsia"/>
          <w:b w:val="false"/>
          <w:color w:val="000000"/>
          <w:sz w:val="44"/>
          <w:szCs w:val="44"/>
        </w:rPr>
        <w:t>厦门市人民代表大会常务委员会关于确定</w:t>
      </w:r>
    </w:p>
    <w:p>
      <w:pPr>
        <w:pStyle w:val="Heading2"/>
        <w:widowControl w:val="false"/>
        <w:shd w:fill="FFFFFF" w:val="clear"/>
        <w:spacing w:lineRule="exact" w:line="580" w:before="0" w:after="0"/>
        <w:ind w:hanging="0" w:start="0"/>
        <w:jc w:val="center"/>
        <w:rPr>
          <w:b w:val="false"/>
          <w:color w:val="000000"/>
          <w:sz w:val="44"/>
          <w:szCs w:val="44"/>
        </w:rPr>
      </w:pPr>
      <w:r>
        <w:rPr>
          <w:rFonts w:hint="eastAsia"/>
          <w:b w:val="false"/>
          <w:color w:val="000000"/>
          <w:sz w:val="44"/>
          <w:szCs w:val="44"/>
        </w:rPr>
        <w:t>“</w:t>
      </w:r>
      <w:r>
        <w:rPr>
          <w:rFonts w:hint="eastAsia"/>
          <w:b w:val="false"/>
          <w:color w:val="000000"/>
          <w:sz w:val="44"/>
          <w:szCs w:val="44"/>
        </w:rPr>
        <w:t>厦门市十八岁成年人宣誓日”的决定</w:t>
      </w:r>
    </w:p>
    <w:p>
      <w:pPr>
        <w:pStyle w:val="Normal"/>
        <w:spacing w:lineRule="exact" w:line="580"/>
        <w:rPr>
          <w:b/>
          <w:color w:val="000000"/>
          <w:sz w:val="44"/>
          <w:szCs w:val="44"/>
        </w:rPr>
      </w:pPr>
      <w:r>
        <w:rPr>
          <w:b/>
          <w:color w:val="000000"/>
          <w:sz w:val="44"/>
          <w:szCs w:val="44"/>
        </w:rPr>
      </w:r>
    </w:p>
    <w:p>
      <w:pPr>
        <w:pStyle w:val="Style14"/>
        <w:widowControl w:val="false"/>
        <w:shd w:fill="FFFFFF" w:val="clear"/>
        <w:spacing w:lineRule="exact" w:line="580" w:before="0" w:after="0"/>
        <w:ind w:firstLineChars="0" w:firstLine="0" w:startChars="200" w:endChars="200"/>
        <w:rPr>
          <w:rFonts w:ascii="楷体_GB2312;楷体" w:hAnsi="楷体_GB2312;楷体" w:eastAsia="楷体_GB2312;楷体" w:hint="eastAsia"/>
          <w:color w:val="000000"/>
          <w:sz w:val="32"/>
          <w:szCs w:val="32"/>
        </w:rPr>
      </w:pPr>
      <w:r>
        <w:rPr>
          <w:rFonts w:ascii="楷体_GB2312;楷体" w:hAnsi="楷体_GB2312;楷体" w:hint="eastAsia" w:eastAsia="楷体_GB2312;楷体"/>
          <w:color w:val="000000"/>
          <w:sz w:val="32"/>
          <w:szCs w:val="32"/>
        </w:rPr>
        <w:t>（</w:t>
      </w:r>
      <w:r>
        <w:rPr>
          <w:rFonts w:eastAsia="楷体_GB2312;楷体" w:hint="eastAsia" w:ascii="楷体_GB2312;楷体" w:hAnsi="楷体_GB2312;楷体"/>
          <w:color w:val="000000"/>
          <w:sz w:val="32"/>
          <w:szCs w:val="32"/>
        </w:rPr>
        <w:t>1996</w:t>
      </w:r>
      <w:r>
        <w:rPr>
          <w:rFonts w:ascii="楷体_GB2312;楷体" w:hAnsi="楷体_GB2312;楷体" w:hint="eastAsia" w:eastAsia="楷体_GB2312;楷体"/>
          <w:color w:val="000000"/>
          <w:sz w:val="32"/>
          <w:szCs w:val="32"/>
        </w:rPr>
        <w:t>年</w:t>
      </w:r>
      <w:r>
        <w:rPr>
          <w:rFonts w:eastAsia="楷体_GB2312;楷体" w:hint="eastAsia" w:ascii="楷体_GB2312;楷体" w:hAnsi="楷体_GB2312;楷体"/>
          <w:color w:val="000000"/>
          <w:sz w:val="32"/>
          <w:szCs w:val="32"/>
        </w:rPr>
        <w:t>9</w:t>
      </w:r>
      <w:r>
        <w:rPr>
          <w:rFonts w:ascii="楷体_GB2312;楷体" w:hAnsi="楷体_GB2312;楷体" w:hint="eastAsia" w:eastAsia="楷体_GB2312;楷体"/>
          <w:color w:val="000000"/>
          <w:sz w:val="32"/>
          <w:szCs w:val="32"/>
        </w:rPr>
        <w:t>月</w:t>
      </w:r>
      <w:r>
        <w:rPr>
          <w:rFonts w:eastAsia="楷体_GB2312;楷体" w:hint="eastAsia" w:ascii="楷体_GB2312;楷体" w:hAnsi="楷体_GB2312;楷体"/>
          <w:color w:val="000000"/>
          <w:sz w:val="32"/>
          <w:szCs w:val="32"/>
        </w:rPr>
        <w:t>23</w:t>
      </w:r>
      <w:r>
        <w:rPr>
          <w:rFonts w:ascii="楷体_GB2312;楷体" w:hAnsi="楷体_GB2312;楷体" w:hint="eastAsia" w:eastAsia="楷体_GB2312;楷体"/>
          <w:color w:val="000000"/>
          <w:sz w:val="32"/>
          <w:szCs w:val="32"/>
        </w:rPr>
        <w:t>日厦门市第十届人民代表大会常务委员会第二十五次会议通过）</w:t>
      </w:r>
    </w:p>
    <w:p>
      <w:pPr>
        <w:pStyle w:val="Style14"/>
        <w:widowControl w:val="false"/>
        <w:shd w:fill="FFFFFF" w:val="clear"/>
        <w:spacing w:lineRule="exact" w:line="580" w:before="0" w:after="0"/>
        <w:ind w:firstLineChars="0" w:firstLine="0" w:startChars="20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厦门市人民代表大会常务委员会第二十五次会议，听取和审议了市人大教科文卫委员会“关于确定厦门市十八岁成年人宣誓日议案办理结果的报告。”会议决定，从</w:t>
      </w:r>
      <w:r>
        <w:rPr>
          <w:rFonts w:eastAsia="仿宋_GB2312;仿宋" w:hint="eastAsia" w:ascii="仿宋_GB2312;仿宋" w:hAnsi="仿宋_GB2312;仿宋"/>
          <w:color w:val="000000"/>
          <w:sz w:val="32"/>
          <w:szCs w:val="32"/>
        </w:rPr>
        <w:t>1997</w:t>
      </w:r>
      <w:r>
        <w:rPr>
          <w:rFonts w:ascii="仿宋_GB2312;仿宋" w:hAnsi="仿宋_GB2312;仿宋" w:hint="eastAsia" w:eastAsia="仿宋_GB2312;仿宋"/>
          <w:color w:val="000000"/>
          <w:sz w:val="32"/>
          <w:szCs w:val="32"/>
        </w:rPr>
        <w:t>年起，每年</w:t>
      </w:r>
      <w:r>
        <w:rPr>
          <w:rFonts w:eastAsia="仿宋_GB2312;仿宋" w:hint="eastAsia" w:ascii="仿宋_GB2312;仿宋" w:hAnsi="仿宋_GB2312;仿宋"/>
          <w:color w:val="000000"/>
          <w:sz w:val="32"/>
          <w:szCs w:val="32"/>
        </w:rPr>
        <w:t>10</w:t>
      </w:r>
      <w:r>
        <w:rPr>
          <w:rFonts w:ascii="仿宋_GB2312;仿宋" w:hAnsi="仿宋_GB2312;仿宋" w:hint="eastAsia" w:eastAsia="仿宋_GB2312;仿宋"/>
          <w:color w:val="000000"/>
          <w:sz w:val="32"/>
          <w:szCs w:val="32"/>
        </w:rPr>
        <w:t>月</w:t>
      </w:r>
      <w:r>
        <w:rPr>
          <w:rFonts w:eastAsia="仿宋_GB2312;仿宋" w:hint="eastAsia" w:ascii="仿宋_GB2312;仿宋" w:hAnsi="仿宋_GB2312;仿宋"/>
          <w:color w:val="000000"/>
          <w:sz w:val="32"/>
          <w:szCs w:val="32"/>
        </w:rPr>
        <w:t>17</w:t>
      </w:r>
      <w:r>
        <w:rPr>
          <w:rFonts w:ascii="仿宋_GB2312;仿宋" w:hAnsi="仿宋_GB2312;仿宋" w:hint="eastAsia" w:eastAsia="仿宋_GB2312;仿宋"/>
          <w:color w:val="000000"/>
          <w:sz w:val="32"/>
          <w:szCs w:val="32"/>
        </w:rPr>
        <w:t>日定为“厦门市十八岁成年人宣誓日”</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为当年年满十八周岁的在厦门学习和工作的公民举行成年人宣誓仪式。</w:t>
      </w:r>
    </w:p>
    <w:p>
      <w:pPr>
        <w:pStyle w:val="Normal"/>
        <w:spacing w:lineRule="exact" w:line="58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bookmarkStart w:id="0" w:name="_GoBack"/>
      <w:bookmarkEnd w:id="0"/>
    </w:p>
    <w:sectPr>
      <w:footerReference w:type="default" r:id="rId2"/>
      <w:type w:val="nextPage"/>
      <w:pgSz w:w="11906" w:h="16838"/>
      <w:pgMar w:left="1587" w:right="1587" w:gutter="0" w:header="0" w:top="2041" w:footer="1644"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楷体_GB2312">
    <w:altName w:val="楷体"/>
    <w:charset w:val="86"/>
    <w:family w:val="modern"/>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BodyText"/>
    <w:qFormat/>
    <w:pPr>
      <w:widowControl/>
      <w:numPr>
        <w:ilvl w:val="1"/>
        <w:numId w:val="1"/>
      </w:numPr>
      <w:spacing w:before="280" w:after="280"/>
      <w:jc w:val="start"/>
      <w:outlineLvl w:val="1"/>
    </w:pPr>
    <w:rPr>
      <w:rFonts w:ascii="宋体" w:hAnsi="宋体" w:cs="宋体"/>
      <w:b/>
      <w:bCs/>
      <w:kern w:val="0"/>
      <w:sz w:val="36"/>
      <w:szCs w:val="36"/>
    </w:rPr>
  </w:style>
  <w:style w:type="character" w:styleId="Style13">
    <w:name w:val="默认段落字体"/>
    <w:qFormat/>
    <w:rPr/>
  </w:style>
  <w:style w:type="character" w:styleId="PageNumber">
    <w:name w:val="page number"/>
    <w:basedOn w:val="Style13"/>
    <w:rPr/>
  </w:style>
  <w:style w:type="character" w:styleId="Char">
    <w:name w:val="页眉 Char"/>
    <w:qFormat/>
    <w:rPr>
      <w:sz w:val="18"/>
      <w:szCs w:val="18"/>
    </w:rPr>
  </w:style>
  <w:style w:type="character" w:styleId="Char1">
    <w:name w:val="页脚 Char"/>
    <w:qFormat/>
    <w:rPr>
      <w:sz w:val="18"/>
      <w:szCs w:val="18"/>
    </w:rPr>
  </w:style>
  <w:style w:type="character" w:styleId="2Char">
    <w:name w:val="标题 2 Char"/>
    <w:qFormat/>
    <w:rPr>
      <w:rFonts w:ascii="宋体" w:hAnsi="宋体" w:eastAsia="宋体" w:cs="宋体"/>
      <w:b/>
      <w:bCs/>
      <w:kern w:val="0"/>
      <w:sz w:val="36"/>
      <w:szCs w:val="36"/>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普通(网站)"/>
    <w:basedOn w:val="Normal"/>
    <w:qFormat/>
    <w:pPr>
      <w:widowControl/>
      <w:spacing w:before="280" w:after="280"/>
      <w:jc w:val="start"/>
    </w:pPr>
    <w:rPr>
      <w:rFonts w:ascii="宋体" w:hAnsi="宋体" w:cs="宋体"/>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eastAsia="宋体" w:cs="Times New Roman"/>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eastAsia="宋体" w:cs="Times New Roman"/>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2017-01-19T16:22:00Z</dcterms:created>
  <dc:creator>汪东升</dc:creator>
  <dc:description/>
  <dc:language>en-US</dc:language>
  <cp:lastModifiedBy>dell</cp:lastModifiedBy>
  <dcterms:modified xsi:type="dcterms:W3CDTF">2019-02-15T11:36:45Z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2052-11.1.0.8213</vt:lpwstr>
  </property>
</Properties>
</file>