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false"/>
        <w:spacing w:lineRule="exact" w:line="600"/>
        <w:jc w:val="center"/>
        <w:textAlignment w:val="auto"/>
        <w:rPr>
          <w:rFonts w:ascii="Times New Roman;DejaVu Sans" w:hAnsi="Times New Roman;DejaVu Sans" w:eastAsia="黑体" w:cs="Times New Roman;DejaVu Sans" w:hint="eastAsia"/>
          <w:color w:val="000000"/>
        </w:rPr>
      </w:pPr>
      <w:r>
        <w:rPr>
          <w:rFonts w:eastAsia="黑体" w:cs="Times New Roman;DejaVu Sans" w:hint="eastAsia" w:ascii="Times New Roman;DejaVu Sans" w:hAnsi="Times New Roman;DejaVu Sans"/>
          <w:color w:val="000000"/>
        </w:rPr>
      </w:r>
    </w:p>
    <w:p>
      <w:pPr>
        <w:pStyle w:val="Normal"/>
        <w:keepNext w:val="false"/>
        <w:keepLines w:val="false"/>
        <w:pageBreakBefore w:val="false"/>
        <w:widowControl w:val="false"/>
        <w:kinsoku w:val="true"/>
        <w:overflowPunct w:val="true"/>
        <w:autoSpaceDE w:val="true"/>
        <w:bidi w:val="0"/>
        <w:spacing w:lineRule="exact" w:line="600"/>
        <w:ind w:hangingChars="853" w:startChars="0" w:start="0" w:endChars="0" w:end="0"/>
        <w:jc w:val="center"/>
        <w:textAlignment w:val="auto"/>
        <w:rPr>
          <w:rFonts w:ascii="宋体" w:hAnsi="宋体" w:eastAsia="宋体" w:cs="宋体" w:hint="eastAsia"/>
          <w:sz w:val="44"/>
          <w:szCs w:val="44"/>
        </w:rPr>
      </w:pPr>
      <w:r>
        <w:rPr>
          <w:rFonts w:ascii="宋体" w:hAnsi="宋体" w:cs="宋体" w:hint="eastAsia" w:eastAsia="宋体"/>
          <w:sz w:val="44"/>
          <w:szCs w:val="44"/>
        </w:rPr>
        <w:t>厦门经济特区会展业促进条例</w:t>
      </w:r>
    </w:p>
    <w:p>
      <w:pPr>
        <w:pStyle w:val="2"/>
        <w:keepNext w:val="false"/>
        <w:keepLines w:val="false"/>
        <w:pageBreakBefore w:val="false"/>
        <w:widowControl w:val="false"/>
        <w:kinsoku w:val="true"/>
        <w:overflowPunct w:val="true"/>
        <w:autoSpaceDE w:val="true"/>
        <w:bidi w:val="0"/>
        <w:spacing w:lineRule="exact" w:line="600"/>
        <w:textAlignment w:val="auto"/>
        <w:rPr>
          <w:rFonts w:ascii="宋体" w:hAnsi="宋体" w:eastAsia="宋体" w:cs="宋体" w:hint="eastAsia"/>
          <w:sz w:val="44"/>
          <w:szCs w:val="44"/>
        </w:rPr>
      </w:pPr>
      <w:r>
        <w:rPr>
          <w:rFonts w:eastAsia="宋体" w:cs="宋体" w:hint="eastAsia" w:ascii="宋体" w:hAnsi="宋体"/>
          <w:sz w:val="44"/>
          <w:szCs w:val="44"/>
        </w:rPr>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200" w:endChars="200"/>
        <w:jc w:val="start"/>
        <w:textAlignment w:val="auto"/>
        <w:rPr>
          <w:rFonts w:ascii="方正楷体简体;宋体" w:hAnsi="方正楷体简体;宋体" w:eastAsia="方正楷体简体;宋体" w:hint="eastAsia"/>
          <w:color w:val="000000"/>
        </w:rPr>
      </w:pPr>
      <w:r>
        <w:rPr>
          <w:rFonts w:eastAsia="方正楷体简体;宋体" w:hint="eastAsia" w:ascii="方正楷体简体;宋体" w:hAnsi="方正楷体简体;宋体"/>
          <w:color w:val="000000"/>
        </w:rPr>
        <w:t>(2020</w:t>
      </w:r>
      <w:r>
        <w:rPr>
          <w:rFonts w:ascii="方正楷体简体;宋体" w:hAnsi="方正楷体简体;宋体" w:hint="eastAsia" w:eastAsia="方正楷体简体;宋体"/>
          <w:color w:val="000000"/>
        </w:rPr>
        <w:t>年</w:t>
      </w:r>
      <w:r>
        <w:rPr>
          <w:rFonts w:eastAsia="方正楷体简体;宋体" w:hint="eastAsia" w:ascii="方正楷体简体;宋体" w:hAnsi="方正楷体简体;宋体"/>
          <w:color w:val="000000"/>
        </w:rPr>
        <w:t>12</w:t>
      </w:r>
      <w:r>
        <w:rPr>
          <w:rFonts w:ascii="方正楷体简体;宋体" w:hAnsi="方正楷体简体;宋体" w:hint="eastAsia" w:eastAsia="方正楷体简体;宋体"/>
          <w:color w:val="000000"/>
        </w:rPr>
        <w:t>月</w:t>
      </w:r>
      <w:r>
        <w:rPr>
          <w:rFonts w:eastAsia="方正楷体简体;宋体" w:hint="eastAsia" w:ascii="方正楷体简体;宋体" w:hAnsi="方正楷体简体;宋体"/>
          <w:color w:val="000000"/>
        </w:rPr>
        <w:t>11</w:t>
      </w:r>
      <w:r>
        <w:rPr>
          <w:rFonts w:ascii="方正楷体简体;宋体" w:hAnsi="方正楷体简体;宋体" w:hint="eastAsia" w:eastAsia="方正楷体简体;宋体"/>
          <w:color w:val="000000"/>
        </w:rPr>
        <w:t>日厦门市第十五届人民代表大会常务委员会第三十九次会议通过）</w:t>
      </w:r>
    </w:p>
    <w:p>
      <w:pPr>
        <w:pStyle w:val="2"/>
        <w:keepNext w:val="false"/>
        <w:keepLines w:val="false"/>
        <w:pageBreakBefore w:val="false"/>
        <w:widowControl w:val="false"/>
        <w:kinsoku w:val="true"/>
        <w:overflowPunct w:val="true"/>
        <w:autoSpaceDE w:val="true"/>
        <w:bidi w:val="0"/>
        <w:spacing w:lineRule="exact" w:line="600"/>
        <w:textAlignment w:val="auto"/>
        <w:rPr>
          <w:rFonts w:ascii="方正楷体简体;宋体" w:hAnsi="方正楷体简体;宋体" w:eastAsia="方正楷体简体;宋体" w:hint="eastAsia"/>
          <w:color w:val="000000"/>
        </w:rPr>
      </w:pPr>
      <w:r>
        <w:rPr>
          <w:rFonts w:eastAsia="方正楷体简体;宋体" w:hint="eastAsia" w:ascii="方正楷体简体;宋体" w:hAnsi="方正楷体简体;宋体"/>
          <w:color w:val="000000"/>
        </w:rPr>
      </w:r>
    </w:p>
    <w:p>
      <w:pPr>
        <w:pStyle w:val="Normal"/>
        <w:keepNext w:val="false"/>
        <w:keepLines w:val="false"/>
        <w:pageBreakBefore w:val="false"/>
        <w:widowControl w:val="false"/>
        <w:kinsoku w:val="true"/>
        <w:overflowPunct w:val="true"/>
        <w:autoSpaceDE w:val="true"/>
        <w:bidi w:val="0"/>
        <w:snapToGrid w:val="true"/>
        <w:spacing w:lineRule="exact" w:line="600"/>
        <w:jc w:val="center"/>
        <w:textAlignment w:val="auto"/>
        <w:rPr>
          <w:rFonts w:ascii="楷体_GB2312" w:hAnsi="楷体_GB2312" w:eastAsia="楷体_GB2312" w:cs="楷体_GB2312" w:hint="eastAsia"/>
          <w:color w:val="000000"/>
        </w:rPr>
      </w:pPr>
      <w:r>
        <w:rPr>
          <w:rFonts w:ascii="楷体_GB2312" w:hAnsi="楷体_GB2312" w:cs="楷体_GB2312" w:hint="eastAsia" w:eastAsia="楷体_GB2312"/>
          <w:color w:val="000000"/>
        </w:rPr>
        <w:t>目  录</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楷体_GB2312" w:hAnsi="楷体_GB2312" w:eastAsia="楷体_GB2312" w:cs="楷体_GB2312" w:hint="eastAsia"/>
          <w:color w:val="000000"/>
        </w:rPr>
      </w:pPr>
      <w:r>
        <w:rPr>
          <w:rFonts w:ascii="楷体_GB2312" w:hAnsi="楷体_GB2312" w:cs="楷体_GB2312" w:hint="eastAsia" w:eastAsia="楷体_GB2312"/>
          <w:color w:val="000000"/>
        </w:rPr>
        <w:t>第一章 总则</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楷体_GB2312" w:hAnsi="楷体_GB2312" w:eastAsia="楷体_GB2312" w:cs="楷体_GB2312" w:hint="eastAsia"/>
          <w:color w:val="000000"/>
        </w:rPr>
      </w:pPr>
      <w:r>
        <w:rPr>
          <w:rFonts w:ascii="楷体_GB2312" w:hAnsi="楷体_GB2312" w:cs="楷体_GB2312" w:hint="eastAsia" w:eastAsia="楷体_GB2312"/>
          <w:color w:val="000000"/>
        </w:rPr>
        <w:t>第二章 扶持和发展</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楷体_GB2312" w:hAnsi="楷体_GB2312" w:eastAsia="楷体_GB2312" w:cs="楷体_GB2312" w:hint="eastAsia"/>
          <w:color w:val="000000"/>
        </w:rPr>
      </w:pPr>
      <w:r>
        <w:rPr>
          <w:rFonts w:ascii="楷体_GB2312" w:hAnsi="楷体_GB2312" w:cs="楷体_GB2312" w:hint="eastAsia" w:eastAsia="楷体_GB2312"/>
          <w:color w:val="000000"/>
        </w:rPr>
        <w:t>第三章 服务和保障</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楷体_GB2312" w:hAnsi="楷体_GB2312" w:eastAsia="楷体_GB2312" w:cs="楷体_GB2312" w:hint="eastAsia"/>
          <w:color w:val="000000"/>
        </w:rPr>
      </w:pPr>
      <w:r>
        <w:rPr>
          <w:rFonts w:ascii="楷体_GB2312" w:hAnsi="楷体_GB2312" w:cs="楷体_GB2312" w:hint="eastAsia" w:eastAsia="楷体_GB2312"/>
          <w:color w:val="000000"/>
        </w:rPr>
        <w:t>第四章 规范和管理</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楷体_GB2312" w:hAnsi="楷体_GB2312" w:eastAsia="楷体_GB2312" w:cs="楷体_GB2312" w:hint="eastAsia"/>
          <w:color w:val="000000"/>
        </w:rPr>
      </w:pPr>
      <w:r>
        <w:rPr>
          <w:rFonts w:ascii="楷体_GB2312" w:hAnsi="楷体_GB2312" w:cs="楷体_GB2312" w:hint="eastAsia" w:eastAsia="楷体_GB2312"/>
          <w:color w:val="000000"/>
        </w:rPr>
        <w:t>第五章 附则</w:t>
      </w:r>
    </w:p>
    <w:p>
      <w:pPr>
        <w:pStyle w:val="Normal"/>
        <w:keepNext w:val="false"/>
        <w:keepLines w:val="false"/>
        <w:pageBreakBefore w:val="false"/>
        <w:widowControl w:val="false"/>
        <w:kinsoku w:val="true"/>
        <w:overflowPunct w:val="true"/>
        <w:autoSpaceDE w:val="true"/>
        <w:bidi w:val="0"/>
        <w:snapToGrid w:val="true"/>
        <w:spacing w:lineRule="exact" w:line="600" w:before="321" w:after="321"/>
        <w:jc w:val="center"/>
        <w:textAlignment w:val="auto"/>
        <w:rPr>
          <w:rFonts w:ascii="CESI黑体-GB2312" w:hAnsi="CESI黑体-GB2312" w:eastAsia="CESI黑体-GB2312" w:cs="CESI黑体-GB2312" w:hint="eastAsia"/>
          <w:color w:val="000000"/>
          <w:kern w:val="0"/>
        </w:rPr>
      </w:pPr>
      <w:r>
        <w:rPr>
          <w:rFonts w:ascii="CESI黑体-GB2312" w:hAnsi="CESI黑体-GB2312" w:cs="CESI黑体-GB2312" w:hint="eastAsia" w:eastAsia="CESI黑体-GB2312"/>
          <w:color w:val="000000"/>
          <w:kern w:val="0"/>
        </w:rPr>
        <w:t>第一章  总  则</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CESI仿宋-GB2312" w:hAnsi="CESI仿宋-GB2312" w:eastAsia="CESI仿宋-GB2312" w:cs="CESI仿宋-GB2312" w:hint="eastAsia"/>
          <w:color w:val="000000"/>
          <w:kern w:val="0"/>
        </w:rPr>
      </w:pPr>
      <w:r>
        <w:rPr>
          <w:rFonts w:ascii="黑体" w:hAnsi="黑体" w:cs="黑体" w:hint="eastAsia" w:eastAsia="黑体"/>
          <w:b w:val="false"/>
          <w:bCs w:val="false"/>
          <w:color w:val="000000"/>
        </w:rPr>
        <w:t>第一条</w:t>
      </w:r>
      <w:r>
        <w:rPr>
          <w:rFonts w:ascii="CESI仿宋-GB2312" w:hAnsi="CESI仿宋-GB2312" w:cs="CESI仿宋-GB2312" w:hint="eastAsia" w:eastAsia="CESI仿宋-GB2312"/>
          <w:b/>
          <w:bCs/>
          <w:color w:val="000000"/>
        </w:rPr>
        <w:t xml:space="preserve"> </w:t>
      </w:r>
      <w:r>
        <w:rPr>
          <w:rFonts w:ascii="CESI仿宋-GB2312" w:hAnsi="CESI仿宋-GB2312" w:cs="CESI仿宋-GB2312" w:hint="eastAsia" w:eastAsia="CESI仿宋-GB2312"/>
          <w:color w:val="000000"/>
        </w:rPr>
        <w:t>为了促进会展业发展，规范会展业市场秩序，</w:t>
      </w:r>
      <w:r>
        <w:rPr>
          <w:rFonts w:ascii="CESI仿宋-GB2312" w:hAnsi="CESI仿宋-GB2312" w:cs="CESI仿宋-GB2312" w:hint="eastAsia" w:eastAsia="CESI仿宋-GB2312"/>
          <w:color w:val="000000"/>
          <w:u w:val="none"/>
        </w:rPr>
        <w:t>建设</w:t>
      </w:r>
      <w:r>
        <w:rPr>
          <w:rFonts w:ascii="CESI仿宋-GB2312" w:hAnsi="CESI仿宋-GB2312" w:cs="CESI仿宋-GB2312" w:hint="eastAsia" w:eastAsia="CESI仿宋-GB2312"/>
          <w:color w:val="000000"/>
        </w:rPr>
        <w:t>国际会展名城，遵循有关法律、行政法</w:t>
      </w:r>
      <w:r>
        <w:rPr>
          <w:rFonts w:ascii="CESI仿宋-GB2312" w:hAnsi="CESI仿宋-GB2312" w:cs="CESI仿宋-GB2312" w:hint="eastAsia" w:eastAsia="CESI仿宋-GB2312"/>
          <w:color w:val="000000"/>
          <w:kern w:val="0"/>
        </w:rPr>
        <w:t>规的基本原则，结合厦门经济特区实际，制定本条例。</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CESI仿宋-GB2312" w:hAnsi="CESI仿宋-GB2312" w:eastAsia="CESI仿宋-GB2312" w:cs="CESI仿宋-GB2312" w:hint="eastAsia"/>
          <w:color w:val="000000"/>
          <w:kern w:val="0"/>
        </w:rPr>
      </w:pPr>
      <w:r>
        <w:rPr>
          <w:rFonts w:ascii="黑体" w:hAnsi="黑体" w:cs="黑体" w:hint="eastAsia" w:eastAsia="黑体"/>
          <w:b w:val="false"/>
          <w:bCs w:val="false"/>
          <w:color w:val="000000"/>
        </w:rPr>
        <w:t xml:space="preserve">第二条 </w:t>
      </w:r>
      <w:r>
        <w:rPr>
          <w:rFonts w:ascii="CESI仿宋-GB2312" w:hAnsi="CESI仿宋-GB2312" w:cs="CESI仿宋-GB2312" w:hint="eastAsia" w:eastAsia="CESI仿宋-GB2312"/>
          <w:color w:val="000000"/>
          <w:kern w:val="0"/>
        </w:rPr>
        <w:t>本条例所称会展业，是指通过举办会展活动，促进</w:t>
      </w:r>
      <w:r>
        <w:rPr>
          <w:rFonts w:ascii="CESI仿宋-GB2312" w:hAnsi="CESI仿宋-GB2312" w:cs="CESI仿宋-GB2312" w:hint="eastAsia" w:eastAsia="CESI仿宋-GB2312"/>
          <w:color w:val="000000"/>
          <w:kern w:val="0"/>
          <w:u w:val="none"/>
        </w:rPr>
        <w:t>工业、</w:t>
      </w:r>
      <w:r>
        <w:rPr>
          <w:rFonts w:ascii="CESI仿宋-GB2312" w:hAnsi="CESI仿宋-GB2312" w:cs="CESI仿宋-GB2312" w:hint="eastAsia" w:eastAsia="CESI仿宋-GB2312"/>
          <w:color w:val="000000"/>
          <w:kern w:val="0"/>
        </w:rPr>
        <w:t>贸易、</w:t>
      </w:r>
      <w:r>
        <w:rPr>
          <w:rFonts w:ascii="CESI仿宋-GB2312" w:hAnsi="CESI仿宋-GB2312" w:cs="CESI仿宋-GB2312" w:hint="eastAsia" w:eastAsia="CESI仿宋-GB2312"/>
          <w:color w:val="000000"/>
          <w:kern w:val="0"/>
          <w:u w:val="none"/>
        </w:rPr>
        <w:t>投资、金融、旅游、科技、文化、教育、体育、</w:t>
      </w:r>
      <w:r>
        <w:rPr>
          <w:rFonts w:ascii="CESI仿宋-GB2312" w:hAnsi="CESI仿宋-GB2312" w:cs="CESI仿宋-GB2312" w:hint="eastAsia" w:eastAsia="CESI仿宋-GB2312"/>
          <w:color w:val="000000"/>
          <w:kern w:val="0"/>
          <w:u w:val="none"/>
          <w:shd w:fill="auto" w:val="clear"/>
        </w:rPr>
        <w:t>健康、医疗</w:t>
      </w:r>
      <w:r>
        <w:rPr>
          <w:rFonts w:ascii="CESI仿宋-GB2312" w:hAnsi="CESI仿宋-GB2312" w:cs="CESI仿宋-GB2312" w:hint="eastAsia" w:eastAsia="CESI仿宋-GB2312"/>
          <w:color w:val="000000"/>
          <w:kern w:val="0"/>
        </w:rPr>
        <w:t>等领域发展的综合性产业。</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CESI仿宋-GB2312" w:hAnsi="CESI仿宋-GB2312" w:eastAsia="CESI仿宋-GB2312" w:cs="CESI仿宋-GB2312" w:hint="eastAsia"/>
          <w:color w:val="000000"/>
          <w:kern w:val="0"/>
        </w:rPr>
      </w:pPr>
      <w:r>
        <w:rPr>
          <w:rFonts w:ascii="CESI仿宋-GB2312" w:hAnsi="CESI仿宋-GB2312" w:cs="CESI仿宋-GB2312" w:hint="eastAsia" w:eastAsia="CESI仿宋-GB2312"/>
          <w:color w:val="000000"/>
          <w:kern w:val="0"/>
        </w:rPr>
        <w:t>前款所称会展活动，是指在特定场所和一定期限内举办的会议、展览、演艺、节庆、赛事等活动中，进行物品、技术、服务等展示，或者为参与者提供推介、洽谈和交流等服务的活动。</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CESI仿宋-GB2312" w:hAnsi="CESI仿宋-GB2312" w:eastAsia="CESI仿宋-GB2312" w:cs="CESI仿宋-GB2312" w:hint="eastAsia"/>
          <w:color w:val="000000"/>
          <w:kern w:val="0"/>
        </w:rPr>
      </w:pPr>
      <w:r>
        <w:rPr>
          <w:rFonts w:ascii="黑体" w:hAnsi="黑体" w:cs="黑体" w:hint="eastAsia" w:eastAsia="黑体"/>
          <w:b w:val="false"/>
          <w:bCs w:val="false"/>
          <w:color w:val="000000"/>
        </w:rPr>
        <w:t>第三条</w:t>
      </w:r>
      <w:r>
        <w:rPr>
          <w:rFonts w:ascii="CESI仿宋-GB2312" w:hAnsi="CESI仿宋-GB2312" w:cs="CESI仿宋-GB2312" w:hint="eastAsia" w:eastAsia="CESI仿宋-GB2312"/>
          <w:b/>
          <w:bCs/>
          <w:color w:val="000000"/>
          <w:kern w:val="0"/>
          <w:u w:val="none"/>
        </w:rPr>
        <w:t xml:space="preserve"> </w:t>
      </w:r>
      <w:r>
        <w:rPr>
          <w:rFonts w:ascii="CESI仿宋-GB2312" w:hAnsi="CESI仿宋-GB2312" w:cs="CESI仿宋-GB2312" w:hint="eastAsia" w:eastAsia="CESI仿宋-GB2312"/>
          <w:color w:val="000000"/>
          <w:kern w:val="0"/>
          <w:u w:val="none"/>
        </w:rPr>
        <w:t>会展业发展遵循市场运作、公平竞争、行业自律、</w:t>
      </w:r>
      <w:r>
        <w:rPr>
          <w:rFonts w:ascii="CESI仿宋-GB2312" w:hAnsi="CESI仿宋-GB2312" w:cs="CESI仿宋-GB2312" w:hint="eastAsia" w:eastAsia="CESI仿宋-GB2312"/>
          <w:color w:val="000000"/>
          <w:kern w:val="0"/>
        </w:rPr>
        <w:t>政府引导的原则。</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CESI仿宋-GB2312" w:hAnsi="CESI仿宋-GB2312" w:eastAsia="CESI仿宋-GB2312" w:cs="CESI仿宋-GB2312" w:hint="eastAsia"/>
          <w:color w:val="000000"/>
          <w:kern w:val="0"/>
        </w:rPr>
      </w:pPr>
      <w:r>
        <w:rPr>
          <w:rFonts w:ascii="黑体" w:hAnsi="黑体" w:cs="黑体" w:hint="eastAsia" w:eastAsia="黑体"/>
          <w:b w:val="false"/>
          <w:bCs w:val="false"/>
          <w:color w:val="000000"/>
        </w:rPr>
        <w:t>第四条</w:t>
      </w:r>
      <w:r>
        <w:rPr>
          <w:rFonts w:ascii="CESI仿宋-GB2312" w:hAnsi="CESI仿宋-GB2312" w:cs="CESI仿宋-GB2312" w:hint="eastAsia" w:eastAsia="CESI仿宋-GB2312"/>
          <w:b/>
          <w:bCs/>
          <w:color w:val="000000"/>
          <w:kern w:val="0"/>
        </w:rPr>
        <w:t xml:space="preserve"> </w:t>
      </w:r>
      <w:r>
        <w:rPr>
          <w:rFonts w:ascii="CESI仿宋-GB2312" w:hAnsi="CESI仿宋-GB2312" w:cs="CESI仿宋-GB2312" w:hint="eastAsia" w:eastAsia="CESI仿宋-GB2312"/>
          <w:color w:val="000000"/>
          <w:kern w:val="0"/>
        </w:rPr>
        <w:t>市人民政府应当加强对会展业的统筹规划，建立会展业议事协调机制，协调会展业发展以及会展活动的重大事项。</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CESI仿宋-GB2312" w:hAnsi="CESI仿宋-GB2312" w:eastAsia="CESI仿宋-GB2312" w:cs="CESI仿宋-GB2312" w:hint="eastAsia"/>
          <w:color w:val="000000"/>
          <w:kern w:val="0"/>
        </w:rPr>
      </w:pPr>
      <w:r>
        <w:rPr>
          <w:rFonts w:ascii="CESI仿宋-GB2312" w:hAnsi="CESI仿宋-GB2312" w:cs="CESI仿宋-GB2312" w:hint="eastAsia" w:eastAsia="CESI仿宋-GB2312"/>
          <w:color w:val="000000"/>
          <w:kern w:val="0"/>
        </w:rPr>
        <w:t>区人民政府应当结合本区域经济社会发展实际，鼓励、扶持会展业发展，负责协调</w:t>
      </w:r>
      <w:r>
        <w:rPr>
          <w:rFonts w:ascii="CESI仿宋-GB2312" w:hAnsi="CESI仿宋-GB2312" w:cs="CESI仿宋-GB2312" w:hint="eastAsia" w:eastAsia="CESI仿宋-GB2312"/>
          <w:color w:val="000000"/>
          <w:kern w:val="0"/>
          <w:u w:val="none"/>
        </w:rPr>
        <w:t>有关</w:t>
      </w:r>
      <w:r>
        <w:rPr>
          <w:rFonts w:ascii="CESI仿宋-GB2312" w:hAnsi="CESI仿宋-GB2312" w:cs="CESI仿宋-GB2312" w:hint="eastAsia" w:eastAsia="CESI仿宋-GB2312"/>
          <w:color w:val="000000"/>
          <w:kern w:val="0"/>
        </w:rPr>
        <w:t>会展活动的组织实施、服务保障和规范管理工作。</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CESI仿宋-GB2312" w:hAnsi="CESI仿宋-GB2312" w:eastAsia="CESI仿宋-GB2312" w:cs="CESI仿宋-GB2312" w:hint="eastAsia"/>
          <w:color w:val="000000"/>
          <w:kern w:val="0"/>
          <w:u w:val="single"/>
        </w:rPr>
      </w:pPr>
      <w:r>
        <w:rPr>
          <w:rFonts w:ascii="黑体" w:hAnsi="黑体" w:cs="黑体" w:hint="eastAsia" w:eastAsia="黑体"/>
          <w:b w:val="false"/>
          <w:bCs w:val="false"/>
          <w:color w:val="000000"/>
        </w:rPr>
        <w:t xml:space="preserve">第五条 </w:t>
      </w:r>
      <w:r>
        <w:rPr>
          <w:rFonts w:ascii="CESI仿宋-GB2312" w:hAnsi="CESI仿宋-GB2312" w:cs="CESI仿宋-GB2312" w:hint="eastAsia" w:eastAsia="CESI仿宋-GB2312"/>
          <w:color w:val="000000"/>
          <w:kern w:val="0"/>
          <w:u w:val="none"/>
          <w:shd w:fill="auto" w:val="clear"/>
        </w:rPr>
        <w:t>市</w:t>
      </w:r>
      <w:r>
        <w:rPr>
          <w:rFonts w:ascii="CESI仿宋-GB2312" w:hAnsi="CESI仿宋-GB2312" w:cs="CESI仿宋-GB2312" w:hint="eastAsia" w:eastAsia="CESI仿宋-GB2312"/>
          <w:color w:val="000000"/>
          <w:kern w:val="0"/>
          <w:u w:val="none"/>
        </w:rPr>
        <w:t>会展业主管部门</w:t>
      </w:r>
      <w:r>
        <w:rPr>
          <w:rFonts w:ascii="CESI仿宋-GB2312" w:hAnsi="CESI仿宋-GB2312" w:cs="CESI仿宋-GB2312" w:hint="eastAsia" w:eastAsia="CESI仿宋-GB2312"/>
          <w:color w:val="000000"/>
          <w:kern w:val="0"/>
          <w:u w:val="none"/>
          <w:shd w:fill="auto" w:val="clear"/>
        </w:rPr>
        <w:t>负责</w:t>
      </w:r>
      <w:r>
        <w:rPr>
          <w:rFonts w:ascii="CESI仿宋-GB2312" w:hAnsi="CESI仿宋-GB2312" w:cs="CESI仿宋-GB2312" w:hint="eastAsia" w:eastAsia="CESI仿宋-GB2312"/>
          <w:color w:val="000000"/>
          <w:kern w:val="0"/>
          <w:u w:val="none"/>
        </w:rPr>
        <w:t>组织编制会展业中长期发展规划，统筹行业主管部门编制全市重大会展活动年度计划，报市人民政府批准后实施；负责政策制定、品牌培育、综合协调、引导规范和服务保障等工作。</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CESI仿宋-GB2312" w:hAnsi="CESI仿宋-GB2312" w:eastAsia="CESI仿宋-GB2312" w:cs="CESI仿宋-GB2312" w:hint="eastAsia"/>
          <w:color w:val="000000"/>
          <w:kern w:val="0"/>
          <w:u w:val="none"/>
        </w:rPr>
      </w:pPr>
      <w:r>
        <w:rPr>
          <w:rFonts w:ascii="CESI仿宋-GB2312" w:hAnsi="CESI仿宋-GB2312" w:cs="CESI仿宋-GB2312" w:hint="eastAsia" w:eastAsia="CESI仿宋-GB2312"/>
          <w:color w:val="000000"/>
          <w:kern w:val="0"/>
          <w:u w:val="none"/>
        </w:rPr>
        <w:t>市发改、财政等部门配合市会展业主管部门制定相关配套政策，促进会展业发展。</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CESI仿宋-GB2312" w:hAnsi="CESI仿宋-GB2312" w:eastAsia="CESI仿宋-GB2312" w:cs="CESI仿宋-GB2312" w:hint="eastAsia"/>
          <w:color w:val="000000"/>
          <w:kern w:val="0"/>
        </w:rPr>
      </w:pPr>
      <w:r>
        <w:rPr>
          <w:rFonts w:ascii="CESI仿宋-GB2312" w:hAnsi="CESI仿宋-GB2312" w:cs="CESI仿宋-GB2312" w:hint="eastAsia" w:eastAsia="CESI仿宋-GB2312"/>
          <w:color w:val="000000"/>
          <w:kern w:val="0"/>
          <w:u w:val="none"/>
        </w:rPr>
        <w:t>工信、科技、金融、卫健、教育、文旅、体育、建设、农业农村、海洋</w:t>
      </w:r>
      <w:r>
        <w:rPr>
          <w:rFonts w:ascii="CESI仿宋-GB2312" w:hAnsi="CESI仿宋-GB2312" w:cs="CESI仿宋-GB2312" w:hint="eastAsia" w:eastAsia="CESI仿宋-GB2312"/>
          <w:color w:val="000000"/>
          <w:kern w:val="0"/>
        </w:rPr>
        <w:t>等有关部门</w:t>
      </w:r>
      <w:r>
        <w:rPr>
          <w:rFonts w:ascii="CESI仿宋-GB2312" w:hAnsi="CESI仿宋-GB2312" w:cs="CESI仿宋-GB2312" w:hint="eastAsia" w:eastAsia="CESI仿宋-GB2312"/>
          <w:color w:val="000000"/>
          <w:kern w:val="0"/>
          <w:shd w:fill="auto" w:val="clear"/>
        </w:rPr>
        <w:t>在各自职责范围内</w:t>
      </w:r>
      <w:r>
        <w:rPr>
          <w:rFonts w:ascii="CESI仿宋-GB2312" w:hAnsi="CESI仿宋-GB2312" w:cs="CESI仿宋-GB2312" w:hint="eastAsia" w:eastAsia="CESI仿宋-GB2312"/>
          <w:color w:val="000000"/>
          <w:kern w:val="0"/>
        </w:rPr>
        <w:t>做好会展</w:t>
      </w:r>
      <w:r>
        <w:rPr>
          <w:rFonts w:ascii="CESI仿宋-GB2312" w:hAnsi="CESI仿宋-GB2312" w:cs="CESI仿宋-GB2312" w:hint="eastAsia" w:eastAsia="CESI仿宋-GB2312"/>
          <w:color w:val="000000"/>
          <w:kern w:val="0"/>
          <w:shd w:fill="auto" w:val="clear"/>
        </w:rPr>
        <w:t>业促进的相关</w:t>
      </w:r>
      <w:r>
        <w:rPr>
          <w:rFonts w:ascii="CESI仿宋-GB2312" w:hAnsi="CESI仿宋-GB2312" w:cs="CESI仿宋-GB2312" w:hint="eastAsia" w:eastAsia="CESI仿宋-GB2312"/>
          <w:color w:val="000000"/>
          <w:kern w:val="0"/>
        </w:rPr>
        <w:t>工作。</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CESI仿宋-GB2312" w:hAnsi="CESI仿宋-GB2312" w:eastAsia="CESI仿宋-GB2312" w:cs="CESI仿宋-GB2312" w:hint="eastAsia"/>
          <w:color w:val="000000"/>
          <w:kern w:val="0"/>
        </w:rPr>
      </w:pPr>
      <w:r>
        <w:rPr>
          <w:rFonts w:ascii="CESI仿宋-GB2312" w:hAnsi="CESI仿宋-GB2312" w:cs="CESI仿宋-GB2312" w:hint="eastAsia" w:eastAsia="CESI仿宋-GB2312"/>
          <w:color w:val="000000"/>
          <w:kern w:val="0"/>
        </w:rPr>
        <w:t>区人民政府确定的会展业主管部门，具体负责本区域内会展业相关工作。</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CESI仿宋-GB2312" w:hAnsi="CESI仿宋-GB2312" w:eastAsia="CESI仿宋-GB2312" w:cs="CESI仿宋-GB2312" w:hint="eastAsia"/>
          <w:color w:val="000000"/>
          <w:kern w:val="0"/>
          <w:u w:val="none"/>
        </w:rPr>
      </w:pPr>
      <w:r>
        <w:rPr>
          <w:rFonts w:ascii="黑体" w:hAnsi="黑体" w:cs="黑体" w:hint="eastAsia" w:eastAsia="黑体"/>
          <w:b w:val="false"/>
          <w:bCs w:val="false"/>
          <w:color w:val="000000"/>
        </w:rPr>
        <w:t xml:space="preserve">第六条 </w:t>
      </w:r>
      <w:r>
        <w:rPr>
          <w:rFonts w:ascii="CESI仿宋-GB2312" w:hAnsi="CESI仿宋-GB2312" w:cs="CESI仿宋-GB2312" w:hint="eastAsia" w:eastAsia="CESI仿宋-GB2312"/>
          <w:color w:val="000000"/>
          <w:kern w:val="0"/>
          <w:u w:val="none"/>
        </w:rPr>
        <w:t>有关部门应当支持与会展业相关的行业协会的设立和发展，引导其依照章程开展活动，参与行业标准制定、开展市场研究、组织业务培训，促进行业交流与合作，维护会员合法权益，提升办展办会水平，推动行业公平竞争和发展壮大。</w:t>
      </w:r>
    </w:p>
    <w:p>
      <w:pPr>
        <w:pStyle w:val="Normal"/>
        <w:keepNext w:val="false"/>
        <w:keepLines w:val="false"/>
        <w:pageBreakBefore w:val="false"/>
        <w:widowControl w:val="false"/>
        <w:kinsoku w:val="true"/>
        <w:overflowPunct w:val="true"/>
        <w:autoSpaceDE w:val="true"/>
        <w:bidi w:val="0"/>
        <w:snapToGrid w:val="true"/>
        <w:spacing w:lineRule="exact" w:line="600" w:before="321" w:after="321"/>
        <w:jc w:val="center"/>
        <w:textAlignment w:val="auto"/>
        <w:rPr>
          <w:rFonts w:ascii="CESI黑体-GB2312" w:hAnsi="CESI黑体-GB2312" w:eastAsia="CESI黑体-GB2312" w:cs="CESI黑体-GB2312" w:hint="eastAsia"/>
          <w:color w:val="000000"/>
          <w:kern w:val="0"/>
        </w:rPr>
      </w:pPr>
      <w:r>
        <w:rPr>
          <w:rFonts w:ascii="CESI黑体-GB2312" w:hAnsi="CESI黑体-GB2312" w:cs="CESI黑体-GB2312" w:hint="eastAsia" w:eastAsia="CESI黑体-GB2312"/>
          <w:color w:val="000000"/>
          <w:kern w:val="0"/>
        </w:rPr>
        <w:t>第二章  扶持和发展</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CESI仿宋-GB2312" w:hAnsi="CESI仿宋-GB2312" w:eastAsia="CESI仿宋-GB2312" w:cs="CESI仿宋-GB2312" w:hint="eastAsia"/>
          <w:color w:val="000000"/>
          <w:kern w:val="0"/>
        </w:rPr>
      </w:pPr>
      <w:r>
        <w:rPr>
          <w:rFonts w:ascii="黑体" w:hAnsi="黑体" w:cs="黑体" w:hint="eastAsia" w:eastAsia="黑体"/>
          <w:b w:val="false"/>
          <w:bCs w:val="false"/>
          <w:color w:val="000000"/>
        </w:rPr>
        <w:t xml:space="preserve">第七条 </w:t>
      </w:r>
      <w:r>
        <w:rPr>
          <w:rFonts w:ascii="CESI仿宋-GB2312" w:hAnsi="CESI仿宋-GB2312" w:cs="CESI仿宋-GB2312" w:hint="eastAsia" w:eastAsia="CESI仿宋-GB2312"/>
          <w:color w:val="000000"/>
          <w:kern w:val="0"/>
        </w:rPr>
        <w:t>市人民政府应当将会展业发展纳入国民经济和社会发展规划，明确会展业发展的目标、任务、重点和保障措施等内容。</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CESI仿宋-GB2312" w:hAnsi="CESI仿宋-GB2312" w:eastAsia="CESI仿宋-GB2312" w:cs="CESI仿宋-GB2312" w:hint="eastAsia"/>
          <w:color w:val="000000"/>
          <w:kern w:val="0"/>
        </w:rPr>
      </w:pPr>
      <w:r>
        <w:rPr>
          <w:rFonts w:ascii="黑体" w:hAnsi="黑体" w:cs="黑体" w:hint="eastAsia" w:eastAsia="黑体"/>
          <w:b w:val="false"/>
          <w:bCs w:val="false"/>
          <w:color w:val="000000"/>
        </w:rPr>
        <w:t xml:space="preserve">第八条 </w:t>
      </w:r>
      <w:r>
        <w:rPr>
          <w:rFonts w:ascii="CESI仿宋-GB2312" w:hAnsi="CESI仿宋-GB2312" w:cs="CESI仿宋-GB2312" w:hint="eastAsia" w:eastAsia="CESI仿宋-GB2312"/>
          <w:color w:val="000000"/>
          <w:kern w:val="0"/>
        </w:rPr>
        <w:t>鼓励社会资本和境外投资者参与会展场馆和配套设施建设，推进政府投资的会展场馆市场化运营。</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CESI仿宋-GB2312" w:hAnsi="CESI仿宋-GB2312" w:eastAsia="CESI仿宋-GB2312" w:cs="CESI仿宋-GB2312" w:hint="eastAsia"/>
          <w:color w:val="000000"/>
          <w:kern w:val="0"/>
        </w:rPr>
      </w:pPr>
      <w:r>
        <w:rPr>
          <w:rFonts w:ascii="黑体" w:hAnsi="黑体" w:cs="黑体" w:hint="eastAsia" w:eastAsia="黑体"/>
          <w:b w:val="false"/>
          <w:bCs w:val="false"/>
          <w:color w:val="000000"/>
        </w:rPr>
        <w:t>第九条</w:t>
      </w:r>
      <w:r>
        <w:rPr>
          <w:rFonts w:ascii="CESI仿宋-GB2312" w:hAnsi="CESI仿宋-GB2312" w:cs="CESI仿宋-GB2312" w:hint="eastAsia" w:eastAsia="CESI仿宋-GB2312"/>
          <w:b/>
          <w:bCs/>
          <w:color w:val="000000"/>
          <w:kern w:val="0"/>
        </w:rPr>
        <w:t xml:space="preserve"> </w:t>
      </w:r>
      <w:r>
        <w:rPr>
          <w:rFonts w:ascii="CESI仿宋-GB2312" w:hAnsi="CESI仿宋-GB2312" w:cs="CESI仿宋-GB2312" w:hint="eastAsia" w:eastAsia="CESI仿宋-GB2312"/>
          <w:color w:val="000000"/>
          <w:kern w:val="0"/>
        </w:rPr>
        <w:t>市人民政府应当安排会展业发展专项资金，纳入本级财政预算，支持会展举办、品牌会展引进与培育、会展业与相关产业联动、会展业宣传推广、人才培训、信息化建设等工作。资金使用的具体办法由市</w:t>
      </w:r>
      <w:r>
        <w:rPr>
          <w:rFonts w:ascii="CESI仿宋-GB2312" w:hAnsi="CESI仿宋-GB2312" w:cs="CESI仿宋-GB2312" w:hint="eastAsia" w:eastAsia="CESI仿宋-GB2312"/>
          <w:color w:val="000000"/>
          <w:kern w:val="0"/>
          <w:u w:val="none"/>
        </w:rPr>
        <w:t>会展业主管</w:t>
      </w:r>
      <w:r>
        <w:rPr>
          <w:rFonts w:ascii="CESI仿宋-GB2312" w:hAnsi="CESI仿宋-GB2312" w:cs="CESI仿宋-GB2312" w:hint="eastAsia" w:eastAsia="CESI仿宋-GB2312"/>
          <w:color w:val="000000"/>
          <w:kern w:val="0"/>
        </w:rPr>
        <w:t>部门会同市财政部门制定。</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CESI仿宋-GB2312" w:hAnsi="CESI仿宋-GB2312" w:eastAsia="CESI仿宋-GB2312" w:cs="CESI仿宋-GB2312" w:hint="eastAsia"/>
          <w:color w:val="000000"/>
          <w:kern w:val="0"/>
          <w:sz w:val="32"/>
          <w:szCs w:val="32"/>
          <w:u w:val="none"/>
        </w:rPr>
      </w:pPr>
      <w:r>
        <w:rPr>
          <w:rFonts w:ascii="CESI仿宋-GB2312" w:hAnsi="CESI仿宋-GB2312" w:cs="CESI仿宋-GB2312" w:hint="eastAsia" w:eastAsia="CESI仿宋-GB2312"/>
          <w:color w:val="000000"/>
          <w:kern w:val="0"/>
          <w:sz w:val="32"/>
          <w:szCs w:val="32"/>
          <w:u w:val="none"/>
        </w:rPr>
        <w:t>市人民政府可以对其认定的大型或者有突出影响力的重大会展活动，制定专项扶持政策。</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CESI仿宋-GB2312" w:hAnsi="CESI仿宋-GB2312" w:eastAsia="CESI仿宋-GB2312" w:cs="CESI仿宋-GB2312" w:hint="eastAsia"/>
          <w:color w:val="000000"/>
          <w:kern w:val="0"/>
        </w:rPr>
      </w:pPr>
      <w:r>
        <w:rPr>
          <w:rFonts w:ascii="CESI仿宋-GB2312" w:hAnsi="CESI仿宋-GB2312" w:cs="CESI仿宋-GB2312" w:hint="eastAsia" w:eastAsia="CESI仿宋-GB2312"/>
          <w:color w:val="000000"/>
          <w:kern w:val="0"/>
        </w:rPr>
        <w:t>各区人民政府根据实际安排会展业发展资金。</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CESI仿宋-GB2312" w:hAnsi="CESI仿宋-GB2312" w:eastAsia="CESI仿宋-GB2312" w:cs="CESI仿宋-GB2312" w:hint="eastAsia"/>
          <w:color w:val="000000"/>
        </w:rPr>
      </w:pPr>
      <w:r>
        <w:rPr>
          <w:rFonts w:ascii="黑体" w:hAnsi="黑体" w:cs="黑体" w:hint="eastAsia" w:eastAsia="黑体"/>
          <w:b w:val="false"/>
          <w:bCs w:val="false"/>
          <w:color w:val="000000"/>
        </w:rPr>
        <w:t xml:space="preserve">第十条 </w:t>
      </w:r>
      <w:r>
        <w:rPr>
          <w:rFonts w:ascii="CESI仿宋-GB2312" w:hAnsi="CESI仿宋-GB2312" w:cs="CESI仿宋-GB2312" w:hint="eastAsia" w:eastAsia="CESI仿宋-GB2312"/>
          <w:color w:val="000000"/>
        </w:rPr>
        <w:t>政府举办的会展活动实</w:t>
      </w:r>
      <w:r>
        <w:rPr>
          <w:rFonts w:ascii="CESI仿宋-GB2312" w:hAnsi="CESI仿宋-GB2312" w:cs="CESI仿宋-GB2312" w:hint="eastAsia" w:eastAsia="CESI仿宋-GB2312"/>
          <w:color w:val="000000"/>
          <w:u w:val="none"/>
        </w:rPr>
        <w:t>行</w:t>
      </w:r>
      <w:r>
        <w:rPr>
          <w:rFonts w:ascii="CESI仿宋-GB2312" w:hAnsi="CESI仿宋-GB2312" w:cs="CESI仿宋-GB2312" w:hint="eastAsia" w:eastAsia="CESI仿宋-GB2312"/>
          <w:color w:val="000000"/>
        </w:rPr>
        <w:t>市场</w:t>
      </w:r>
      <w:r>
        <w:rPr>
          <w:rFonts w:ascii="CESI仿宋-GB2312" w:hAnsi="CESI仿宋-GB2312" w:cs="CESI仿宋-GB2312" w:hint="eastAsia" w:eastAsia="CESI仿宋-GB2312"/>
          <w:color w:val="000000"/>
          <w:u w:val="none"/>
        </w:rPr>
        <w:t>化</w:t>
      </w:r>
      <w:r>
        <w:rPr>
          <w:rFonts w:ascii="CESI仿宋-GB2312" w:hAnsi="CESI仿宋-GB2312" w:cs="CESI仿宋-GB2312" w:hint="eastAsia" w:eastAsia="CESI仿宋-GB2312"/>
          <w:color w:val="000000"/>
        </w:rPr>
        <w:t>运作，加大公共服务购买力度。</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CESI仿宋-GB2312" w:hAnsi="CESI仿宋-GB2312" w:eastAsia="CESI仿宋-GB2312" w:cs="CESI仿宋-GB2312" w:hint="eastAsia"/>
          <w:color w:val="000000"/>
          <w:kern w:val="0"/>
        </w:rPr>
      </w:pPr>
      <w:r>
        <w:rPr>
          <w:rFonts w:ascii="CESI仿宋-GB2312" w:hAnsi="CESI仿宋-GB2312" w:cs="CESI仿宋-GB2312" w:hint="eastAsia" w:eastAsia="CESI仿宋-GB2312"/>
          <w:color w:val="000000"/>
          <w:kern w:val="0"/>
        </w:rPr>
        <w:t>支持社会资本设立面向会展业的产业投资基金。重点投向本地会展业且符合相关要求的，可以按照规定申请</w:t>
      </w:r>
      <w:r>
        <w:rPr>
          <w:rFonts w:ascii="CESI仿宋-GB2312" w:hAnsi="CESI仿宋-GB2312" w:cs="CESI仿宋-GB2312" w:hint="eastAsia" w:eastAsia="CESI仿宋-GB2312"/>
          <w:color w:val="000000"/>
          <w:kern w:val="0"/>
          <w:u w:val="none"/>
        </w:rPr>
        <w:t>政府设立的</w:t>
      </w:r>
      <w:r>
        <w:rPr>
          <w:rFonts w:ascii="CESI仿宋-GB2312" w:hAnsi="CESI仿宋-GB2312" w:cs="CESI仿宋-GB2312" w:hint="eastAsia" w:eastAsia="CESI仿宋-GB2312"/>
          <w:color w:val="000000"/>
          <w:kern w:val="0"/>
        </w:rPr>
        <w:t>市产业引导基金予以支持。</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CESI仿宋-GB2312" w:hAnsi="CESI仿宋-GB2312" w:eastAsia="CESI仿宋-GB2312" w:cs="CESI仿宋-GB2312" w:hint="eastAsia"/>
          <w:color w:val="000000"/>
          <w:kern w:val="0"/>
        </w:rPr>
      </w:pPr>
      <w:r>
        <w:rPr>
          <w:rFonts w:ascii="黑体" w:hAnsi="黑体" w:cs="黑体" w:hint="eastAsia" w:eastAsia="黑体"/>
          <w:b w:val="false"/>
          <w:bCs w:val="false"/>
          <w:color w:val="000000"/>
        </w:rPr>
        <w:t>第十一条</w:t>
      </w:r>
      <w:r>
        <w:rPr>
          <w:rFonts w:ascii="CESI仿宋-GB2312" w:hAnsi="CESI仿宋-GB2312" w:cs="CESI仿宋-GB2312" w:hint="eastAsia" w:eastAsia="CESI仿宋-GB2312"/>
          <w:b/>
          <w:bCs/>
          <w:color w:val="000000"/>
          <w:kern w:val="0"/>
        </w:rPr>
        <w:t xml:space="preserve"> </w:t>
      </w:r>
      <w:r>
        <w:rPr>
          <w:rFonts w:ascii="CESI仿宋-GB2312" w:hAnsi="CESI仿宋-GB2312" w:cs="CESI仿宋-GB2312" w:hint="eastAsia" w:eastAsia="CESI仿宋-GB2312"/>
          <w:color w:val="000000"/>
          <w:kern w:val="0"/>
        </w:rPr>
        <w:t>市人民政府应当完善会展业知识产权保护机制。</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CESI仿宋-GB2312" w:hAnsi="CESI仿宋-GB2312" w:eastAsia="CESI仿宋-GB2312" w:cs="CESI仿宋-GB2312" w:hint="eastAsia"/>
          <w:color w:val="000000"/>
          <w:kern w:val="0"/>
          <w:u w:val="none"/>
        </w:rPr>
      </w:pPr>
      <w:r>
        <w:rPr>
          <w:rFonts w:ascii="CESI仿宋-GB2312" w:hAnsi="CESI仿宋-GB2312" w:cs="CESI仿宋-GB2312" w:hint="eastAsia" w:eastAsia="CESI仿宋-GB2312"/>
          <w:color w:val="000000"/>
          <w:kern w:val="0"/>
          <w:u w:val="none"/>
        </w:rPr>
        <w:t>知识产权</w:t>
      </w:r>
      <w:r>
        <w:rPr>
          <w:rFonts w:ascii="CESI仿宋-GB2312" w:hAnsi="CESI仿宋-GB2312" w:cs="CESI仿宋-GB2312" w:hint="eastAsia" w:eastAsia="CESI仿宋-GB2312"/>
          <w:color w:val="000000"/>
          <w:kern w:val="0"/>
          <w:u w:val="none"/>
          <w:shd w:fill="auto" w:val="clear"/>
        </w:rPr>
        <w:t>行政</w:t>
      </w:r>
      <w:r>
        <w:rPr>
          <w:rFonts w:ascii="CESI仿宋-GB2312" w:hAnsi="CESI仿宋-GB2312" w:cs="CESI仿宋-GB2312" w:hint="eastAsia" w:eastAsia="CESI仿宋-GB2312"/>
          <w:color w:val="000000"/>
          <w:kern w:val="0"/>
          <w:u w:val="none"/>
        </w:rPr>
        <w:t>管理部门应当加强对会展活动知识产权保护工作的指导，依法快速处理会展活动知识产权违法行为。</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CESI仿宋-GB2312" w:hAnsi="CESI仿宋-GB2312" w:eastAsia="CESI仿宋-GB2312" w:cs="CESI仿宋-GB2312" w:hint="eastAsia"/>
          <w:color w:val="000000"/>
          <w:kern w:val="0"/>
          <w:u w:val="none"/>
        </w:rPr>
      </w:pPr>
      <w:r>
        <w:rPr>
          <w:rFonts w:ascii="CESI仿宋-GB2312" w:hAnsi="CESI仿宋-GB2312" w:cs="CESI仿宋-GB2312" w:hint="eastAsia" w:eastAsia="CESI仿宋-GB2312"/>
          <w:color w:val="000000"/>
          <w:kern w:val="0"/>
          <w:u w:val="none"/>
        </w:rPr>
        <w:t>鼓励会展企业注册商标，保护会展名称、标志等无形资产。</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CESI仿宋-GB2312" w:hAnsi="CESI仿宋-GB2312" w:eastAsia="CESI仿宋-GB2312" w:cs="CESI仿宋-GB2312" w:hint="eastAsia"/>
          <w:kern w:val="0"/>
          <w:u w:val="none"/>
        </w:rPr>
      </w:pPr>
      <w:r>
        <w:rPr>
          <w:rFonts w:ascii="CESI仿宋-GB2312" w:hAnsi="CESI仿宋-GB2312" w:cs="CESI仿宋-GB2312" w:hint="eastAsia" w:eastAsia="CESI仿宋-GB2312"/>
          <w:kern w:val="0"/>
          <w:u w:val="none"/>
        </w:rPr>
        <w:t>举办单位依法做好会展知识产权保护工作。重大会展活动举办单位</w:t>
      </w:r>
      <w:r>
        <w:rPr>
          <w:rFonts w:ascii="CESI仿宋-GB2312" w:hAnsi="CESI仿宋-GB2312" w:cs="CESI仿宋-GB2312" w:hint="eastAsia" w:eastAsia="CESI仿宋-GB2312"/>
          <w:kern w:val="0"/>
          <w:u w:val="none"/>
          <w:shd w:fill="auto" w:val="clear"/>
        </w:rPr>
        <w:t>应当</w:t>
      </w:r>
      <w:r>
        <w:rPr>
          <w:rFonts w:ascii="CESI仿宋-GB2312" w:hAnsi="CESI仿宋-GB2312" w:cs="CESI仿宋-GB2312" w:hint="eastAsia" w:eastAsia="CESI仿宋-GB2312"/>
          <w:kern w:val="0"/>
          <w:u w:val="none"/>
        </w:rPr>
        <w:t>在会展现场</w:t>
      </w:r>
      <w:r>
        <w:rPr>
          <w:rFonts w:ascii="CESI仿宋-GB2312" w:hAnsi="CESI仿宋-GB2312" w:cs="CESI仿宋-GB2312" w:hint="eastAsia" w:eastAsia="CESI仿宋-GB2312"/>
          <w:kern w:val="0"/>
          <w:u w:val="none"/>
          <w:shd w:fill="auto" w:val="clear"/>
        </w:rPr>
        <w:t>提供</w:t>
      </w:r>
      <w:r>
        <w:rPr>
          <w:rFonts w:ascii="CESI仿宋-GB2312" w:hAnsi="CESI仿宋-GB2312" w:cs="CESI仿宋-GB2312" w:hint="eastAsia" w:eastAsia="CESI仿宋-GB2312"/>
          <w:kern w:val="0"/>
          <w:u w:val="none"/>
        </w:rPr>
        <w:t>知识产权</w:t>
      </w:r>
      <w:r>
        <w:rPr>
          <w:rFonts w:ascii="CESI仿宋-GB2312" w:hAnsi="CESI仿宋-GB2312" w:cs="CESI仿宋-GB2312" w:hint="eastAsia" w:eastAsia="CESI仿宋-GB2312"/>
          <w:kern w:val="0"/>
          <w:u w:val="none"/>
          <w:shd w:fill="auto" w:val="clear"/>
        </w:rPr>
        <w:t>相关</w:t>
      </w:r>
      <w:r>
        <w:rPr>
          <w:rFonts w:ascii="CESI仿宋-GB2312" w:hAnsi="CESI仿宋-GB2312" w:cs="CESI仿宋-GB2312" w:hint="eastAsia" w:eastAsia="CESI仿宋-GB2312"/>
          <w:kern w:val="0"/>
          <w:u w:val="none"/>
        </w:rPr>
        <w:t>服务，配合、协助知识产权</w:t>
      </w:r>
      <w:r>
        <w:rPr>
          <w:rFonts w:ascii="CESI仿宋-GB2312" w:hAnsi="CESI仿宋-GB2312" w:cs="CESI仿宋-GB2312" w:hint="eastAsia" w:eastAsia="CESI仿宋-GB2312"/>
          <w:kern w:val="0"/>
          <w:u w:val="none"/>
          <w:shd w:fill="auto" w:val="clear"/>
        </w:rPr>
        <w:t>行政</w:t>
      </w:r>
      <w:r>
        <w:rPr>
          <w:rFonts w:ascii="CESI仿宋-GB2312" w:hAnsi="CESI仿宋-GB2312" w:cs="CESI仿宋-GB2312" w:hint="eastAsia" w:eastAsia="CESI仿宋-GB2312"/>
          <w:kern w:val="0"/>
          <w:u w:val="none"/>
        </w:rPr>
        <w:t>管理部门处理知识产权纠纷。</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CESI仿宋-GB2312" w:hAnsi="CESI仿宋-GB2312" w:eastAsia="CESI仿宋-GB2312" w:cs="CESI仿宋-GB2312" w:hint="eastAsia"/>
          <w:color w:val="000000"/>
          <w:kern w:val="0"/>
          <w:u w:val="none"/>
        </w:rPr>
      </w:pPr>
      <w:r>
        <w:rPr>
          <w:rFonts w:ascii="黑体" w:hAnsi="黑体" w:cs="黑体" w:hint="eastAsia" w:eastAsia="黑体"/>
          <w:b w:val="false"/>
          <w:bCs w:val="false"/>
          <w:color w:val="000000"/>
        </w:rPr>
        <w:t xml:space="preserve">第十二条 </w:t>
      </w:r>
      <w:r>
        <w:rPr>
          <w:rFonts w:ascii="CESI仿宋-GB2312" w:hAnsi="CESI仿宋-GB2312" w:cs="CESI仿宋-GB2312" w:hint="eastAsia" w:eastAsia="CESI仿宋-GB2312"/>
          <w:color w:val="000000"/>
          <w:kern w:val="0"/>
        </w:rPr>
        <w:t>市人民政府</w:t>
      </w:r>
      <w:r>
        <w:rPr>
          <w:rFonts w:ascii="CESI仿宋-GB2312" w:hAnsi="CESI仿宋-GB2312" w:cs="CESI仿宋-GB2312" w:hint="eastAsia" w:eastAsia="CESI仿宋-GB2312"/>
          <w:color w:val="000000"/>
          <w:kern w:val="0"/>
          <w:u w:val="none"/>
        </w:rPr>
        <w:t>及其有关部门应当加强与</w:t>
      </w:r>
      <w:r>
        <w:rPr>
          <w:rFonts w:ascii="CESI仿宋-GB2312" w:hAnsi="CESI仿宋-GB2312" w:cs="CESI仿宋-GB2312" w:hint="eastAsia" w:eastAsia="CESI仿宋-GB2312"/>
          <w:color w:val="000000"/>
          <w:kern w:val="0"/>
          <w:u w:val="none"/>
          <w:shd w:fill="auto" w:val="clear"/>
        </w:rPr>
        <w:t>国际</w:t>
      </w:r>
      <w:r>
        <w:rPr>
          <w:rFonts w:ascii="CESI仿宋-GB2312" w:hAnsi="CESI仿宋-GB2312" w:cs="CESI仿宋-GB2312" w:hint="eastAsia" w:eastAsia="CESI仿宋-GB2312"/>
          <w:color w:val="000000"/>
          <w:kern w:val="0"/>
          <w:u w:val="none"/>
        </w:rPr>
        <w:t>组织、机构的联系，建立国际会展引进和申办联动机制，积极引进国际知名会展机构和会展活动。</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CESI仿宋-GB2312" w:hAnsi="CESI仿宋-GB2312" w:eastAsia="CESI仿宋-GB2312" w:cs="CESI仿宋-GB2312" w:hint="eastAsia"/>
          <w:color w:val="000000"/>
          <w:kern w:val="0"/>
          <w:u w:val="none"/>
        </w:rPr>
      </w:pPr>
      <w:r>
        <w:rPr>
          <w:rFonts w:ascii="CESI仿宋-GB2312" w:hAnsi="CESI仿宋-GB2312" w:cs="CESI仿宋-GB2312" w:hint="eastAsia" w:eastAsia="CESI仿宋-GB2312"/>
          <w:color w:val="000000"/>
          <w:kern w:val="0"/>
          <w:u w:val="none"/>
        </w:rPr>
        <w:t>推动联合国相关机构和会议、展览、演艺、节庆、赛事等方面的国际组织入驻本市或者设立办事机构；支持境外机构依照规定独立举办对外经济技术展会活动。</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CESI仿宋-GB2312" w:hAnsi="CESI仿宋-GB2312" w:eastAsia="CESI仿宋-GB2312" w:cs="CESI仿宋-GB2312" w:hint="eastAsia"/>
          <w:color w:val="000000"/>
          <w:kern w:val="0"/>
        </w:rPr>
      </w:pPr>
      <w:r>
        <w:rPr>
          <w:rFonts w:ascii="CESI仿宋-GB2312" w:hAnsi="CESI仿宋-GB2312" w:cs="CESI仿宋-GB2312" w:hint="eastAsia" w:eastAsia="CESI仿宋-GB2312"/>
          <w:color w:val="000000"/>
          <w:kern w:val="0"/>
        </w:rPr>
        <w:t>鼓励本市会展企业加入国际展览业协会、国际大会以及会议协会等国际知名会展业组织，推动会展品牌获得国际认证。</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CESI仿宋-GB2312" w:hAnsi="CESI仿宋-GB2312" w:eastAsia="CESI仿宋-GB2312" w:cs="CESI仿宋-GB2312" w:hint="eastAsia"/>
          <w:color w:val="000000"/>
          <w:kern w:val="0"/>
          <w:u w:val="none"/>
        </w:rPr>
      </w:pPr>
      <w:r>
        <w:rPr>
          <w:rFonts w:ascii="黑体" w:hAnsi="黑体" w:cs="黑体" w:hint="eastAsia" w:eastAsia="黑体"/>
          <w:b w:val="false"/>
          <w:bCs w:val="false"/>
          <w:color w:val="000000"/>
        </w:rPr>
        <w:t>第十三条</w:t>
      </w:r>
      <w:r>
        <w:rPr>
          <w:rFonts w:ascii="CESI仿宋-GB2312" w:hAnsi="CESI仿宋-GB2312" w:cs="CESI仿宋-GB2312" w:hint="eastAsia" w:eastAsia="CESI仿宋-GB2312"/>
          <w:b/>
          <w:bCs/>
          <w:color w:val="000000"/>
          <w:kern w:val="0"/>
          <w:u w:val="none"/>
        </w:rPr>
        <w:t xml:space="preserve"> </w:t>
      </w:r>
      <w:r>
        <w:rPr>
          <w:rFonts w:ascii="CESI仿宋-GB2312" w:hAnsi="CESI仿宋-GB2312" w:cs="CESI仿宋-GB2312" w:hint="eastAsia" w:eastAsia="CESI仿宋-GB2312"/>
          <w:color w:val="000000"/>
          <w:kern w:val="0"/>
          <w:u w:val="none"/>
        </w:rPr>
        <w:t>市人民政府及其有关部门应当制定政策措施，培育和引进大型会展企业，鼓励本市会展企业通过收购、兼并、控股、参股、联营等形式组建大型会展企业集团。</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CESI仿宋-GB2312" w:hAnsi="CESI仿宋-GB2312" w:eastAsia="CESI仿宋-GB2312" w:cs="CESI仿宋-GB2312" w:hint="eastAsia"/>
          <w:color w:val="000000"/>
          <w:kern w:val="0"/>
          <w:u w:val="none"/>
        </w:rPr>
      </w:pPr>
      <w:r>
        <w:rPr>
          <w:rFonts w:ascii="CESI仿宋-GB2312" w:hAnsi="CESI仿宋-GB2312" w:cs="CESI仿宋-GB2312" w:hint="eastAsia" w:eastAsia="CESI仿宋-GB2312"/>
          <w:color w:val="000000"/>
          <w:kern w:val="0"/>
          <w:u w:val="none"/>
        </w:rPr>
        <w:t>鼓励国有企业加强资源整合，通过联合、参股等形式投入会展业。</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CESI仿宋-GB2312" w:hAnsi="CESI仿宋-GB2312" w:eastAsia="CESI仿宋-GB2312" w:cs="CESI仿宋-GB2312" w:hint="eastAsia"/>
          <w:b/>
          <w:bCs/>
          <w:color w:val="000000"/>
          <w:kern w:val="0"/>
          <w:u w:val="single"/>
        </w:rPr>
      </w:pPr>
      <w:r>
        <w:rPr>
          <w:rFonts w:ascii="CESI仿宋-GB2312" w:hAnsi="CESI仿宋-GB2312" w:cs="CESI仿宋-GB2312" w:hint="eastAsia" w:eastAsia="CESI仿宋-GB2312"/>
          <w:color w:val="000000"/>
          <w:kern w:val="0"/>
          <w:u w:val="none"/>
        </w:rPr>
        <w:t>鼓励各类企业、行业组织、中介组织和个人</w:t>
      </w:r>
      <w:r>
        <w:rPr>
          <w:rFonts w:ascii="CESI仿宋-GB2312" w:hAnsi="CESI仿宋-GB2312" w:cs="CESI仿宋-GB2312" w:hint="eastAsia" w:eastAsia="CESI仿宋-GB2312"/>
          <w:color w:val="000000"/>
          <w:kern w:val="0"/>
          <w:u w:val="none"/>
          <w:shd w:fill="auto" w:val="clear"/>
        </w:rPr>
        <w:t>引进</w:t>
      </w:r>
      <w:r>
        <w:rPr>
          <w:rFonts w:ascii="CESI仿宋-GB2312" w:hAnsi="CESI仿宋-GB2312" w:cs="CESI仿宋-GB2312" w:hint="eastAsia" w:eastAsia="CESI仿宋-GB2312"/>
          <w:color w:val="000000"/>
          <w:kern w:val="0"/>
          <w:u w:val="none"/>
        </w:rPr>
        <w:t>或者举办会展活动，鼓励有国际竞争力的会展企业建立海外联络机构和营销网络参与国际竞争。</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CESI仿宋-GB2312" w:hAnsi="CESI仿宋-GB2312" w:eastAsia="CESI仿宋-GB2312" w:cs="CESI仿宋-GB2312" w:hint="eastAsia"/>
          <w:color w:val="000000"/>
          <w:kern w:val="0"/>
        </w:rPr>
      </w:pPr>
      <w:r>
        <w:rPr>
          <w:rFonts w:ascii="黑体" w:hAnsi="黑体" w:cs="黑体" w:hint="eastAsia" w:eastAsia="黑体"/>
          <w:b w:val="false"/>
          <w:bCs w:val="false"/>
          <w:color w:val="000000"/>
        </w:rPr>
        <w:t>第十四条</w:t>
      </w:r>
      <w:r>
        <w:rPr>
          <w:rFonts w:ascii="CESI仿宋-GB2312" w:hAnsi="CESI仿宋-GB2312" w:cs="CESI仿宋-GB2312" w:hint="eastAsia" w:eastAsia="CESI仿宋-GB2312"/>
          <w:b/>
          <w:bCs/>
          <w:color w:val="000000"/>
          <w:kern w:val="0"/>
        </w:rPr>
        <w:t xml:space="preserve"> </w:t>
      </w:r>
      <w:r>
        <w:rPr>
          <w:rFonts w:ascii="CESI仿宋-GB2312" w:hAnsi="CESI仿宋-GB2312" w:cs="CESI仿宋-GB2312" w:hint="eastAsia" w:eastAsia="CESI仿宋-GB2312"/>
          <w:color w:val="000000"/>
          <w:kern w:val="0"/>
        </w:rPr>
        <w:t>市人民政府及其有关部门应当鼓励本市企业创办、培育品牌会展，引进与优势产业</w:t>
      </w:r>
      <w:r>
        <w:rPr>
          <w:rFonts w:ascii="CESI仿宋-GB2312" w:hAnsi="CESI仿宋-GB2312" w:cs="CESI仿宋-GB2312" w:hint="eastAsia" w:eastAsia="CESI仿宋-GB2312"/>
          <w:color w:val="000000"/>
          <w:kern w:val="0"/>
          <w:u w:val="none"/>
        </w:rPr>
        <w:t>、重点产业</w:t>
      </w:r>
      <w:r>
        <w:rPr>
          <w:rFonts w:ascii="CESI仿宋-GB2312" w:hAnsi="CESI仿宋-GB2312" w:cs="CESI仿宋-GB2312" w:hint="eastAsia" w:eastAsia="CESI仿宋-GB2312"/>
          <w:color w:val="000000"/>
          <w:kern w:val="0"/>
        </w:rPr>
        <w:t>有关的品牌会展，支持国际性、全国性和区域性大型特色品牌会展。</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CESI仿宋-GB2312" w:hAnsi="CESI仿宋-GB2312" w:eastAsia="CESI仿宋-GB2312" w:cs="CESI仿宋-GB2312" w:hint="eastAsia"/>
          <w:color w:val="000000"/>
          <w:kern w:val="0"/>
        </w:rPr>
      </w:pPr>
      <w:r>
        <w:rPr>
          <w:rFonts w:ascii="CESI仿宋-GB2312" w:hAnsi="CESI仿宋-GB2312" w:cs="CESI仿宋-GB2312" w:hint="eastAsia" w:eastAsia="CESI仿宋-GB2312"/>
          <w:color w:val="000000"/>
          <w:kern w:val="0"/>
        </w:rPr>
        <w:t>突出本市特色优势和产业优势，提升中国国际投资贸易洽谈会以及其他品牌会展的专业化水平。</w:t>
      </w:r>
    </w:p>
    <w:p>
      <w:pPr>
        <w:pStyle w:val="2"/>
        <w:keepNext w:val="false"/>
        <w:keepLines w:val="false"/>
        <w:pageBreakBefore w:val="false"/>
        <w:widowControl w:val="false"/>
        <w:numPr>
          <w:ilvl w:val="0"/>
          <w:numId w:val="0"/>
        </w:numPr>
        <w:kinsoku w:val="true"/>
        <w:overflowPunct w:val="true"/>
        <w:autoSpaceDE w:val="true"/>
        <w:bidi w:val="0"/>
        <w:snapToGrid w:val="true"/>
        <w:spacing w:lineRule="exact" w:line="600"/>
        <w:ind w:firstLineChars="200" w:startChars="0" w:start="0" w:endChars="-47"/>
        <w:textAlignment w:val="auto"/>
        <w:rPr>
          <w:rFonts w:ascii="CESI仿宋-GB2312" w:hAnsi="CESI仿宋-GB2312" w:eastAsia="CESI仿宋-GB2312" w:cs="CESI仿宋-GB2312" w:hint="eastAsia"/>
          <w:b w:val="false"/>
          <w:bCs w:val="false"/>
          <w:color w:val="000000"/>
          <w:kern w:val="0"/>
          <w:sz w:val="32"/>
          <w:szCs w:val="32"/>
          <w:u w:val="none"/>
        </w:rPr>
      </w:pPr>
      <w:r>
        <w:rPr>
          <w:rFonts w:ascii="黑体" w:hAnsi="黑体" w:cs="黑体" w:hint="eastAsia" w:eastAsia="黑体"/>
          <w:b w:val="false"/>
          <w:bCs w:val="false"/>
          <w:color w:val="000000"/>
          <w:kern w:val="0"/>
          <w:sz w:val="32"/>
          <w:szCs w:val="32"/>
        </w:rPr>
        <w:t>第十五条</w:t>
      </w:r>
      <w:r>
        <w:rPr>
          <w:rFonts w:ascii="CESI仿宋-GB2312" w:hAnsi="CESI仿宋-GB2312" w:cs="CESI仿宋-GB2312" w:hint="eastAsia" w:eastAsia="CESI仿宋-GB2312"/>
          <w:b w:val="false"/>
          <w:bCs w:val="false"/>
          <w:color w:val="000000"/>
          <w:kern w:val="0"/>
          <w:sz w:val="32"/>
          <w:szCs w:val="32"/>
          <w:u w:val="none"/>
        </w:rPr>
        <w:t xml:space="preserve"> 市人民政府应当制定政策，协调有关行业主管部门参与组织行业会展活动。</w:t>
      </w:r>
    </w:p>
    <w:p>
      <w:pPr>
        <w:pStyle w:val="2"/>
        <w:keepNext w:val="false"/>
        <w:keepLines w:val="false"/>
        <w:pageBreakBefore w:val="false"/>
        <w:widowControl w:val="false"/>
        <w:numPr>
          <w:ilvl w:val="0"/>
          <w:numId w:val="0"/>
        </w:numPr>
        <w:kinsoku w:val="true"/>
        <w:overflowPunct w:val="true"/>
        <w:autoSpaceDE w:val="true"/>
        <w:bidi w:val="0"/>
        <w:snapToGrid w:val="true"/>
        <w:spacing w:lineRule="exact" w:line="600"/>
        <w:ind w:firstLineChars="0" w:firstLine="0" w:startChars="0" w:start="0" w:endChars="-47"/>
        <w:textAlignment w:val="auto"/>
        <w:rPr>
          <w:rFonts w:ascii="CESI仿宋-GB2312" w:hAnsi="CESI仿宋-GB2312" w:eastAsia="CESI仿宋-GB2312" w:cs="CESI仿宋-GB2312"/>
          <w:b w:val="false"/>
          <w:bCs w:val="false"/>
          <w:color w:val="000000"/>
          <w:kern w:val="0"/>
          <w:sz w:val="32"/>
          <w:szCs w:val="32"/>
          <w:u w:val="none"/>
        </w:rPr>
      </w:pPr>
      <w:r>
        <w:rPr>
          <w:rFonts w:eastAsia="CESI仿宋-GB2312" w:cs="CESI仿宋-GB2312" w:hint="eastAsia" w:ascii="CESI仿宋-GB2312" w:hAnsi="CESI仿宋-GB2312"/>
          <w:b w:val="false"/>
          <w:bCs w:val="false"/>
          <w:color w:val="000000"/>
          <w:kern w:val="0"/>
          <w:sz w:val="32"/>
          <w:szCs w:val="32"/>
          <w:u w:val="none"/>
        </w:rPr>
        <w:t xml:space="preserve">    </w:t>
      </w:r>
      <w:r>
        <w:rPr>
          <w:rFonts w:ascii="CESI仿宋-GB2312" w:hAnsi="CESI仿宋-GB2312" w:cs="CESI仿宋-GB2312" w:hint="eastAsia" w:eastAsia="CESI仿宋-GB2312"/>
          <w:b w:val="false"/>
          <w:bCs w:val="false"/>
          <w:color w:val="000000"/>
          <w:kern w:val="0"/>
          <w:sz w:val="32"/>
          <w:szCs w:val="32"/>
          <w:u w:val="none"/>
        </w:rPr>
        <w:t>有关行业主管部门应当支持配合举办行业会展活动，加强同行业协会的沟通、联系与协调，争取较大规模的行业会展活动落地举办，带动产业发展、项目引进和培育。</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CESI仿宋-GB2312" w:hAnsi="CESI仿宋-GB2312" w:eastAsia="CESI仿宋-GB2312" w:cs="CESI仿宋-GB2312" w:hint="eastAsia"/>
          <w:color w:val="000000"/>
          <w:kern w:val="0"/>
          <w:u w:val="none"/>
        </w:rPr>
      </w:pPr>
      <w:r>
        <w:rPr>
          <w:rFonts w:ascii="黑体" w:hAnsi="黑体" w:cs="黑体" w:hint="eastAsia" w:eastAsia="黑体"/>
          <w:b w:val="false"/>
          <w:bCs w:val="false"/>
          <w:color w:val="000000"/>
        </w:rPr>
        <w:t>第十六条</w:t>
      </w:r>
      <w:r>
        <w:rPr>
          <w:rFonts w:ascii="CESI仿宋-GB2312" w:hAnsi="CESI仿宋-GB2312" w:cs="CESI仿宋-GB2312" w:hint="eastAsia" w:eastAsia="CESI仿宋-GB2312"/>
          <w:b/>
          <w:bCs/>
          <w:color w:val="000000"/>
          <w:kern w:val="0"/>
          <w:u w:val="none"/>
        </w:rPr>
        <w:t xml:space="preserve"> </w:t>
      </w:r>
      <w:r>
        <w:rPr>
          <w:rFonts w:ascii="CESI仿宋-GB2312" w:hAnsi="CESI仿宋-GB2312" w:cs="CESI仿宋-GB2312" w:hint="eastAsia" w:eastAsia="CESI仿宋-GB2312"/>
          <w:color w:val="000000"/>
          <w:kern w:val="0"/>
          <w:u w:val="none"/>
        </w:rPr>
        <w:t>市会展业主管部门应当会同行业主管部门，推动优势产业、重点产业与会展业融合发展。</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CESI仿宋-GB2312" w:hAnsi="CESI仿宋-GB2312" w:eastAsia="CESI仿宋-GB2312" w:cs="CESI仿宋-GB2312" w:hint="eastAsia"/>
          <w:color w:val="000000"/>
          <w:kern w:val="0"/>
          <w:u w:val="none"/>
        </w:rPr>
      </w:pPr>
      <w:r>
        <w:rPr>
          <w:rFonts w:ascii="CESI仿宋-GB2312" w:hAnsi="CESI仿宋-GB2312" w:cs="CESI仿宋-GB2312" w:hint="eastAsia" w:eastAsia="CESI仿宋-GB2312"/>
          <w:color w:val="000000"/>
          <w:kern w:val="0"/>
          <w:u w:val="none"/>
        </w:rPr>
        <w:t>支持招商单位利用中国国际投资贸易洽谈会、海峡两岸（厦门）文化产业博览交易会等专业会展平台进行投资环境和政策推介、开展资源和项目对接。</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ind w:firstLineChars="200" w:startChars="0" w:start="0" w:endChars="0" w:end="0"/>
        <w:textAlignment w:val="auto"/>
        <w:rPr>
          <w:rFonts w:ascii="CESI仿宋-GB2312" w:hAnsi="CESI仿宋-GB2312" w:eastAsia="CESI仿宋-GB2312" w:cs="CESI仿宋-GB2312" w:hint="eastAsia"/>
          <w:color w:val="000000"/>
          <w:kern w:val="0"/>
          <w:u w:val="none"/>
        </w:rPr>
      </w:pPr>
      <w:r>
        <w:rPr>
          <w:rFonts w:ascii="黑体" w:hAnsi="黑体" w:cs="黑体" w:hint="eastAsia" w:eastAsia="黑体"/>
          <w:b w:val="false"/>
          <w:bCs w:val="false"/>
          <w:color w:val="000000"/>
        </w:rPr>
        <w:t xml:space="preserve">第十七条 </w:t>
      </w:r>
      <w:r>
        <w:rPr>
          <w:rFonts w:ascii="CESI仿宋-GB2312" w:hAnsi="CESI仿宋-GB2312" w:cs="CESI仿宋-GB2312" w:hint="eastAsia" w:eastAsia="CESI仿宋-GB2312"/>
          <w:color w:val="000000"/>
          <w:kern w:val="0"/>
          <w:u w:val="none"/>
        </w:rPr>
        <w:t>发挥厦门工业博览会（台交会）</w:t>
      </w:r>
      <w:r>
        <w:rPr>
          <w:rFonts w:ascii="CESI仿宋-GB2312" w:hAnsi="CESI仿宋-GB2312" w:cs="CESI仿宋-GB2312" w:hint="eastAsia" w:eastAsia="CESI仿宋-GB2312"/>
          <w:color w:val="000000"/>
          <w:kern w:val="0"/>
          <w:u w:val="none"/>
          <w:shd w:fill="auto" w:val="clear"/>
        </w:rPr>
        <w:t>以及其他</w:t>
      </w:r>
      <w:r>
        <w:rPr>
          <w:rFonts w:ascii="CESI仿宋-GB2312" w:hAnsi="CESI仿宋-GB2312" w:cs="CESI仿宋-GB2312" w:hint="eastAsia" w:eastAsia="CESI仿宋-GB2312"/>
          <w:color w:val="000000"/>
          <w:kern w:val="0"/>
          <w:u w:val="none"/>
        </w:rPr>
        <w:t>重大涉台交流合作平台优势，积极推动两岸在商贸物流、文化旅游、金融服务、平板显示、计算机、软件信息、半导体与集成电路等领域开展行业交流合作。</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CESI仿宋-GB2312" w:hAnsi="CESI仿宋-GB2312" w:eastAsia="CESI仿宋-GB2312" w:cs="CESI仿宋-GB2312" w:hint="eastAsia"/>
          <w:color w:val="000000"/>
          <w:kern w:val="0"/>
          <w:u w:val="none"/>
        </w:rPr>
      </w:pPr>
      <w:r>
        <w:rPr>
          <w:rFonts w:ascii="黑体" w:hAnsi="黑体" w:cs="黑体" w:hint="eastAsia" w:eastAsia="黑体"/>
          <w:b w:val="false"/>
          <w:bCs w:val="false"/>
          <w:color w:val="000000"/>
        </w:rPr>
        <w:t>第十八条</w:t>
      </w:r>
      <w:r>
        <w:rPr>
          <w:rFonts w:ascii="CESI仿宋-GB2312" w:hAnsi="CESI仿宋-GB2312" w:cs="CESI仿宋-GB2312" w:hint="eastAsia" w:eastAsia="CESI仿宋-GB2312"/>
          <w:color w:val="000000"/>
          <w:kern w:val="0"/>
          <w:u w:val="none"/>
        </w:rPr>
        <w:t xml:space="preserve"> 市会展业主管部门应当制定会展招商奖励政策，报市人民政府批准后实施。</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CESI仿宋-GB2312" w:hAnsi="CESI仿宋-GB2312" w:eastAsia="CESI仿宋-GB2312" w:cs="CESI仿宋-GB2312" w:hint="eastAsia"/>
          <w:color w:val="000000"/>
          <w:kern w:val="0"/>
          <w:u w:val="none"/>
        </w:rPr>
      </w:pPr>
      <w:r>
        <w:rPr>
          <w:rFonts w:ascii="CESI仿宋-GB2312" w:hAnsi="CESI仿宋-GB2312" w:cs="CESI仿宋-GB2312" w:hint="eastAsia" w:eastAsia="CESI仿宋-GB2312"/>
          <w:color w:val="000000"/>
          <w:kern w:val="0"/>
          <w:u w:val="none"/>
        </w:rPr>
        <w:t>会展业主管部门应当按照规定对引进知名会展企业和重大会展活动作出重要贡献的单位和个人给予奖励。</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CESI仿宋-GB2312" w:hAnsi="CESI仿宋-GB2312" w:eastAsia="CESI仿宋-GB2312" w:cs="CESI仿宋-GB2312" w:hint="eastAsia"/>
          <w:color w:val="000000"/>
          <w:kern w:val="0"/>
          <w:u w:val="none"/>
        </w:rPr>
      </w:pPr>
      <w:r>
        <w:rPr>
          <w:rFonts w:ascii="黑体" w:hAnsi="黑体" w:cs="黑体" w:hint="eastAsia" w:eastAsia="黑体"/>
          <w:b w:val="false"/>
          <w:bCs w:val="false"/>
          <w:color w:val="000000"/>
        </w:rPr>
        <w:t>第十九条</w:t>
      </w:r>
      <w:r>
        <w:rPr>
          <w:rFonts w:ascii="CESI仿宋-GB2312" w:hAnsi="CESI仿宋-GB2312" w:cs="CESI仿宋-GB2312" w:hint="eastAsia" w:eastAsia="CESI仿宋-GB2312"/>
          <w:b/>
          <w:bCs/>
          <w:color w:val="000000"/>
          <w:kern w:val="0"/>
          <w:u w:val="none"/>
        </w:rPr>
        <w:t xml:space="preserve"> </w:t>
      </w:r>
      <w:r>
        <w:rPr>
          <w:rFonts w:ascii="CESI仿宋-GB2312" w:hAnsi="CESI仿宋-GB2312" w:cs="CESI仿宋-GB2312" w:hint="eastAsia" w:eastAsia="CESI仿宋-GB2312"/>
          <w:color w:val="000000"/>
          <w:kern w:val="0"/>
          <w:u w:val="none"/>
        </w:rPr>
        <w:t>市会展业主管部门应当会同</w:t>
      </w:r>
      <w:r>
        <w:rPr>
          <w:rFonts w:ascii="CESI仿宋-GB2312" w:hAnsi="CESI仿宋-GB2312" w:cs="CESI仿宋-GB2312" w:hint="eastAsia" w:eastAsia="CESI仿宋-GB2312"/>
          <w:color w:val="000000"/>
          <w:kern w:val="0"/>
          <w:u w:val="none"/>
          <w:shd w:fill="auto" w:val="clear"/>
        </w:rPr>
        <w:t>有关人力资源</w:t>
      </w:r>
      <w:r>
        <w:rPr>
          <w:rFonts w:ascii="CESI仿宋-GB2312" w:hAnsi="CESI仿宋-GB2312" w:cs="CESI仿宋-GB2312" w:hint="eastAsia" w:eastAsia="CESI仿宋-GB2312"/>
          <w:color w:val="000000"/>
          <w:kern w:val="0"/>
          <w:u w:val="none"/>
        </w:rPr>
        <w:t>部门建立和完善会展人才使用评价机制，制定会展业人才培养、引进和激励政策。</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CESI仿宋-GB2312" w:hAnsi="CESI仿宋-GB2312" w:eastAsia="CESI仿宋-GB2312" w:cs="CESI仿宋-GB2312" w:hint="eastAsia"/>
          <w:color w:val="000000"/>
          <w:kern w:val="0"/>
          <w:u w:val="none"/>
        </w:rPr>
      </w:pPr>
      <w:r>
        <w:rPr>
          <w:rFonts w:ascii="CESI仿宋-GB2312" w:hAnsi="CESI仿宋-GB2312" w:cs="CESI仿宋-GB2312" w:hint="eastAsia" w:eastAsia="CESI仿宋-GB2312"/>
          <w:color w:val="000000"/>
          <w:kern w:val="0"/>
          <w:u w:val="none"/>
        </w:rPr>
        <w:t>支持高等院校、职业院校等结合会展业发展需求，设置会展业相关专业，与国内外知名会展院校进行交流合作，培养会展业专门人才。</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CESI仿宋-GB2312" w:hAnsi="CESI仿宋-GB2312" w:eastAsia="CESI仿宋-GB2312" w:cs="CESI仿宋-GB2312" w:hint="eastAsia"/>
          <w:color w:val="000000"/>
          <w:kern w:val="0"/>
          <w:u w:val="none"/>
        </w:rPr>
      </w:pPr>
      <w:r>
        <w:rPr>
          <w:rFonts w:ascii="CESI仿宋-GB2312" w:hAnsi="CESI仿宋-GB2312" w:cs="CESI仿宋-GB2312" w:hint="eastAsia" w:eastAsia="CESI仿宋-GB2312"/>
          <w:color w:val="000000"/>
          <w:kern w:val="0"/>
          <w:u w:val="none"/>
        </w:rPr>
        <w:t>鼓励院校、职业培训机构、行业组织与举办单位、场馆单位和会展服务单位加强合作，设立会展培训和实训基地，培养符合市场需求的会展活动策划、创意等人才。</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CESI仿宋-GB2312" w:hAnsi="CESI仿宋-GB2312" w:eastAsia="CESI仿宋-GB2312" w:cs="CESI仿宋-GB2312" w:hint="eastAsia"/>
          <w:color w:val="000000"/>
          <w:kern w:val="0"/>
          <w:u w:val="none"/>
        </w:rPr>
      </w:pPr>
      <w:r>
        <w:rPr>
          <w:rFonts w:ascii="CESI仿宋-GB2312" w:hAnsi="CESI仿宋-GB2312" w:cs="CESI仿宋-GB2312" w:hint="eastAsia" w:eastAsia="CESI仿宋-GB2312"/>
          <w:color w:val="000000"/>
          <w:kern w:val="0"/>
          <w:u w:val="none"/>
        </w:rPr>
        <w:t>鼓励举办单位、场馆单位和会展服务单位从国内外引进高层次、紧缺会展人才。</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CESI仿宋-GB2312" w:hAnsi="CESI仿宋-GB2312" w:eastAsia="CESI仿宋-GB2312" w:cs="CESI仿宋-GB2312" w:hint="eastAsia"/>
          <w:color w:val="000000"/>
          <w:kern w:val="0"/>
          <w:u w:val="none"/>
        </w:rPr>
      </w:pPr>
      <w:r>
        <w:rPr>
          <w:rFonts w:ascii="CESI仿宋-GB2312" w:hAnsi="CESI仿宋-GB2312" w:cs="CESI仿宋-GB2312" w:hint="eastAsia" w:eastAsia="CESI仿宋-GB2312"/>
          <w:color w:val="000000"/>
          <w:kern w:val="0"/>
          <w:u w:val="none"/>
        </w:rPr>
        <w:t>企业引进符合本市需求的高层次、紧缺会展人才，所产生的中介费、住房补贴、安家费等费用，按照规定在成本费用列支。高层次、紧缺会展人才</w:t>
      </w:r>
      <w:r>
        <w:rPr>
          <w:rFonts w:ascii="CESI仿宋-GB2312" w:hAnsi="CESI仿宋-GB2312" w:cs="CESI仿宋-GB2312" w:hint="eastAsia" w:eastAsia="CESI仿宋-GB2312"/>
          <w:color w:val="000000"/>
          <w:kern w:val="0"/>
          <w:u w:val="none"/>
          <w:shd w:fill="auto" w:val="clear"/>
        </w:rPr>
        <w:t>按照规定</w:t>
      </w:r>
      <w:r>
        <w:rPr>
          <w:rFonts w:ascii="CESI仿宋-GB2312" w:hAnsi="CESI仿宋-GB2312" w:cs="CESI仿宋-GB2312" w:hint="eastAsia" w:eastAsia="CESI仿宋-GB2312"/>
          <w:color w:val="000000"/>
          <w:kern w:val="0"/>
          <w:u w:val="none"/>
        </w:rPr>
        <w:t>享受财税扶持、培养进修、社会保险、医疗服务、子女教育、住房租购、落户等方面的优惠</w:t>
      </w:r>
      <w:r>
        <w:rPr>
          <w:rFonts w:ascii="CESI仿宋-GB2312" w:hAnsi="CESI仿宋-GB2312" w:cs="CESI仿宋-GB2312" w:hint="eastAsia" w:eastAsia="CESI仿宋-GB2312"/>
          <w:color w:val="000000"/>
          <w:kern w:val="0"/>
          <w:u w:val="none"/>
          <w:shd w:fill="auto" w:val="clear"/>
        </w:rPr>
        <w:t>政策</w:t>
      </w:r>
      <w:r>
        <w:rPr>
          <w:rFonts w:ascii="CESI仿宋-GB2312" w:hAnsi="CESI仿宋-GB2312" w:cs="CESI仿宋-GB2312" w:hint="eastAsia" w:eastAsia="CESI仿宋-GB2312"/>
          <w:color w:val="000000"/>
          <w:kern w:val="0"/>
          <w:u w:val="none"/>
        </w:rPr>
        <w:t>。</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CESI仿宋-GB2312" w:hAnsi="CESI仿宋-GB2312" w:eastAsia="CESI仿宋-GB2312" w:cs="CESI仿宋-GB2312" w:hint="eastAsia"/>
          <w:color w:val="000000"/>
          <w:kern w:val="0"/>
        </w:rPr>
      </w:pPr>
      <w:r>
        <w:rPr>
          <w:rFonts w:ascii="黑体" w:hAnsi="黑体" w:cs="黑体" w:hint="eastAsia" w:eastAsia="黑体"/>
          <w:b w:val="false"/>
          <w:bCs w:val="false"/>
          <w:color w:val="000000"/>
        </w:rPr>
        <w:t>第二十条</w:t>
      </w:r>
      <w:r>
        <w:rPr>
          <w:rFonts w:ascii="CESI仿宋-GB2312" w:hAnsi="CESI仿宋-GB2312" w:cs="CESI仿宋-GB2312" w:hint="eastAsia" w:eastAsia="CESI仿宋-GB2312"/>
          <w:b/>
          <w:bCs/>
          <w:color w:val="000000"/>
          <w:kern w:val="0"/>
          <w:u w:val="none"/>
          <w:shd w:fill="auto" w:val="clear"/>
        </w:rPr>
        <w:t xml:space="preserve"> </w:t>
      </w:r>
      <w:r>
        <w:rPr>
          <w:rFonts w:ascii="CESI仿宋-GB2312" w:hAnsi="CESI仿宋-GB2312" w:cs="CESI仿宋-GB2312" w:hint="eastAsia" w:eastAsia="CESI仿宋-GB2312"/>
          <w:color w:val="000000"/>
          <w:kern w:val="0"/>
          <w:u w:val="none"/>
        </w:rPr>
        <w:t>鼓励举办单位、场馆单位、会展服务单位和行业组织开展网上会展活动，</w:t>
      </w:r>
      <w:r>
        <w:rPr>
          <w:rFonts w:ascii="CESI仿宋-GB2312" w:hAnsi="CESI仿宋-GB2312" w:cs="CESI仿宋-GB2312" w:hint="eastAsia" w:eastAsia="CESI仿宋-GB2312"/>
          <w:color w:val="000000"/>
          <w:kern w:val="0"/>
        </w:rPr>
        <w:t>运用云计算、大数据、物联网、移动互联网、人工智能等现代信息技术，通过服务创新、管理创新、市场创新等，发展新兴会展业态。</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CESI仿宋-GB2312" w:hAnsi="CESI仿宋-GB2312" w:eastAsia="CESI仿宋-GB2312" w:cs="CESI仿宋-GB2312" w:hint="eastAsia"/>
          <w:color w:val="000000"/>
          <w:kern w:val="0"/>
        </w:rPr>
      </w:pPr>
      <w:r>
        <w:rPr>
          <w:rFonts w:ascii="CESI仿宋-GB2312" w:hAnsi="CESI仿宋-GB2312" w:cs="CESI仿宋-GB2312" w:hint="eastAsia" w:eastAsia="CESI仿宋-GB2312"/>
          <w:color w:val="000000"/>
          <w:kern w:val="0"/>
        </w:rPr>
        <w:t>支持场馆单位推进智慧场馆建设，引入智能化场馆服务管理。</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CESI仿宋-GB2312" w:hAnsi="CESI仿宋-GB2312" w:eastAsia="CESI仿宋-GB2312" w:cs="CESI仿宋-GB2312" w:hint="eastAsia"/>
          <w:color w:val="000000"/>
          <w:kern w:val="0"/>
          <w:u w:val="single"/>
        </w:rPr>
      </w:pPr>
      <w:r>
        <w:rPr>
          <w:rFonts w:ascii="黑体" w:hAnsi="黑体" w:cs="黑体" w:hint="eastAsia" w:eastAsia="黑体"/>
          <w:b w:val="false"/>
          <w:bCs w:val="false"/>
          <w:color w:val="000000"/>
        </w:rPr>
        <w:t>第二十一条</w:t>
      </w:r>
      <w:r>
        <w:rPr>
          <w:rFonts w:ascii="CESI仿宋-GB2312" w:hAnsi="CESI仿宋-GB2312" w:cs="CESI仿宋-GB2312" w:hint="eastAsia" w:eastAsia="CESI仿宋-GB2312"/>
          <w:b/>
          <w:bCs/>
          <w:color w:val="000000"/>
          <w:kern w:val="0"/>
          <w:u w:val="none"/>
        </w:rPr>
        <w:t xml:space="preserve"> </w:t>
      </w:r>
      <w:r>
        <w:rPr>
          <w:rFonts w:ascii="CESI仿宋-GB2312" w:hAnsi="CESI仿宋-GB2312" w:cs="CESI仿宋-GB2312" w:hint="eastAsia" w:eastAsia="CESI仿宋-GB2312"/>
          <w:color w:val="000000"/>
          <w:kern w:val="0"/>
          <w:u w:val="none"/>
        </w:rPr>
        <w:t>鼓励发挥中介组织作用，支持金融、法律、技术、咨询、策划、人力资源等服务企业参与会展业活动。</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CESI仿宋-GB2312" w:hAnsi="CESI仿宋-GB2312" w:eastAsia="CESI仿宋-GB2312" w:cs="CESI仿宋-GB2312" w:hint="eastAsia"/>
          <w:color w:val="000000"/>
          <w:kern w:val="0"/>
          <w:u w:val="none"/>
        </w:rPr>
      </w:pPr>
      <w:r>
        <w:rPr>
          <w:rFonts w:ascii="黑体" w:hAnsi="黑体" w:cs="黑体" w:hint="eastAsia" w:eastAsia="黑体"/>
          <w:b w:val="false"/>
          <w:bCs w:val="false"/>
          <w:color w:val="000000"/>
        </w:rPr>
        <w:t xml:space="preserve">第二十二条 </w:t>
      </w:r>
      <w:r>
        <w:rPr>
          <w:rFonts w:ascii="CESI仿宋-GB2312" w:hAnsi="CESI仿宋-GB2312" w:cs="CESI仿宋-GB2312" w:hint="eastAsia" w:eastAsia="CESI仿宋-GB2312"/>
          <w:color w:val="000000"/>
          <w:kern w:val="0"/>
          <w:u w:val="none"/>
        </w:rPr>
        <w:t>发展绿色会展，推动会展场馆在设计、建设、使用等方面应用环保节能技术。在会展活动中推广应用各种节能降耗的器材设备和低碳技术，采用可循环再生材料。</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CESI仿宋-GB2312" w:hAnsi="CESI仿宋-GB2312" w:eastAsia="CESI仿宋-GB2312" w:cs="CESI仿宋-GB2312" w:hint="eastAsia"/>
          <w:color w:val="000000"/>
          <w:kern w:val="0"/>
        </w:rPr>
      </w:pPr>
      <w:r>
        <w:rPr>
          <w:rFonts w:ascii="黑体" w:hAnsi="黑体" w:cs="黑体" w:hint="eastAsia" w:eastAsia="黑体"/>
          <w:b w:val="false"/>
          <w:bCs w:val="false"/>
          <w:color w:val="000000"/>
        </w:rPr>
        <w:t>第二十三条</w:t>
      </w:r>
      <w:r>
        <w:rPr>
          <w:rFonts w:ascii="CESI仿宋-GB2312" w:hAnsi="CESI仿宋-GB2312" w:cs="CESI仿宋-GB2312" w:hint="eastAsia" w:eastAsia="CESI仿宋-GB2312"/>
          <w:b/>
          <w:bCs/>
          <w:color w:val="000000"/>
          <w:kern w:val="0"/>
          <w:u w:val="none"/>
        </w:rPr>
        <w:t xml:space="preserve"> </w:t>
      </w:r>
      <w:r>
        <w:rPr>
          <w:rFonts w:ascii="CESI仿宋-GB2312" w:hAnsi="CESI仿宋-GB2312" w:cs="CESI仿宋-GB2312" w:hint="eastAsia" w:eastAsia="CESI仿宋-GB2312"/>
          <w:color w:val="000000"/>
          <w:kern w:val="0"/>
          <w:u w:val="none"/>
        </w:rPr>
        <w:t>市会展业主管部门建立会展业数据信息库，开展大数据分析，对会展业发展情况进行监测和评估。</w:t>
      </w:r>
    </w:p>
    <w:p>
      <w:pPr>
        <w:pStyle w:val="Normal"/>
        <w:keepNext w:val="false"/>
        <w:keepLines w:val="false"/>
        <w:pageBreakBefore w:val="false"/>
        <w:widowControl w:val="false"/>
        <w:kinsoku w:val="true"/>
        <w:overflowPunct w:val="true"/>
        <w:autoSpaceDE w:val="true"/>
        <w:bidi w:val="0"/>
        <w:snapToGrid w:val="true"/>
        <w:spacing w:lineRule="exact" w:line="600" w:before="321" w:after="321"/>
        <w:jc w:val="center"/>
        <w:textAlignment w:val="auto"/>
        <w:rPr>
          <w:rFonts w:ascii="CESI黑体-GB2312" w:hAnsi="CESI黑体-GB2312" w:eastAsia="CESI黑体-GB2312" w:cs="CESI黑体-GB2312" w:hint="eastAsia"/>
          <w:color w:val="000000"/>
          <w:kern w:val="0"/>
        </w:rPr>
      </w:pPr>
      <w:r>
        <w:rPr>
          <w:rFonts w:ascii="CESI黑体-GB2312" w:hAnsi="CESI黑体-GB2312" w:cs="CESI黑体-GB2312" w:hint="eastAsia" w:eastAsia="CESI黑体-GB2312"/>
          <w:color w:val="000000"/>
          <w:kern w:val="0"/>
        </w:rPr>
        <w:t>第三章  服务和保障</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CESI仿宋-GB2312" w:hAnsi="CESI仿宋-GB2312" w:eastAsia="CESI仿宋-GB2312" w:cs="CESI仿宋-GB2312" w:hint="eastAsia"/>
          <w:color w:val="000000"/>
          <w:kern w:val="0"/>
        </w:rPr>
      </w:pPr>
      <w:r>
        <w:rPr>
          <w:rFonts w:ascii="黑体" w:hAnsi="黑体" w:cs="黑体" w:hint="eastAsia" w:eastAsia="黑体"/>
          <w:b w:val="false"/>
          <w:bCs w:val="false"/>
          <w:color w:val="000000"/>
        </w:rPr>
        <w:t xml:space="preserve">第二十四条 </w:t>
      </w:r>
      <w:r>
        <w:rPr>
          <w:rFonts w:ascii="CESI仿宋-GB2312" w:hAnsi="CESI仿宋-GB2312" w:cs="CESI仿宋-GB2312" w:hint="eastAsia" w:eastAsia="CESI仿宋-GB2312"/>
          <w:color w:val="000000"/>
          <w:kern w:val="0"/>
          <w:u w:val="none"/>
        </w:rPr>
        <w:t>举办单位在会展活动举办前将会展活动名称、时间、地点、规模等信息向市会展业主管部</w:t>
      </w:r>
      <w:r>
        <w:rPr>
          <w:rFonts w:ascii="CESI仿宋-GB2312" w:hAnsi="CESI仿宋-GB2312" w:cs="CESI仿宋-GB2312" w:hint="eastAsia" w:eastAsia="CESI仿宋-GB2312"/>
          <w:color w:val="000000"/>
          <w:kern w:val="0"/>
        </w:rPr>
        <w:t>门备案的，市</w:t>
      </w:r>
      <w:r>
        <w:rPr>
          <w:rFonts w:ascii="CESI仿宋-GB2312" w:hAnsi="CESI仿宋-GB2312" w:cs="CESI仿宋-GB2312" w:hint="eastAsia" w:eastAsia="CESI仿宋-GB2312"/>
          <w:color w:val="000000"/>
          <w:kern w:val="0"/>
          <w:u w:val="none"/>
        </w:rPr>
        <w:t>会展业主管</w:t>
      </w:r>
      <w:r>
        <w:rPr>
          <w:rFonts w:ascii="CESI仿宋-GB2312" w:hAnsi="CESI仿宋-GB2312" w:cs="CESI仿宋-GB2312" w:hint="eastAsia" w:eastAsia="CESI仿宋-GB2312"/>
          <w:color w:val="000000"/>
          <w:kern w:val="0"/>
        </w:rPr>
        <w:t>部门按照规定给予补助。</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CESI仿宋-GB2312" w:hAnsi="CESI仿宋-GB2312" w:eastAsia="CESI仿宋-GB2312" w:cs="CESI仿宋-GB2312" w:hint="eastAsia"/>
          <w:color w:val="000000"/>
          <w:kern w:val="0"/>
        </w:rPr>
      </w:pPr>
      <w:r>
        <w:rPr>
          <w:rFonts w:ascii="CESI仿宋-GB2312" w:hAnsi="CESI仿宋-GB2312" w:cs="CESI仿宋-GB2312" w:hint="eastAsia" w:eastAsia="CESI仿宋-GB2312"/>
          <w:color w:val="000000"/>
          <w:kern w:val="0"/>
        </w:rPr>
        <w:t>需要冠以中国、中华、全国、国家等字样的会展活动以及涉外会展活动，举办单位应当按照国家有关规定办理审批或者备案手续，市</w:t>
      </w:r>
      <w:r>
        <w:rPr>
          <w:rFonts w:ascii="CESI仿宋-GB2312" w:hAnsi="CESI仿宋-GB2312" w:cs="CESI仿宋-GB2312" w:hint="eastAsia" w:eastAsia="CESI仿宋-GB2312"/>
          <w:color w:val="000000"/>
          <w:kern w:val="0"/>
          <w:u w:val="none"/>
        </w:rPr>
        <w:t>会展业主管</w:t>
      </w:r>
      <w:r>
        <w:rPr>
          <w:rFonts w:ascii="CESI仿宋-GB2312" w:hAnsi="CESI仿宋-GB2312" w:cs="CESI仿宋-GB2312" w:hint="eastAsia" w:eastAsia="CESI仿宋-GB2312"/>
          <w:color w:val="000000"/>
          <w:kern w:val="0"/>
        </w:rPr>
        <w:t>部门应当予以协助。</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CESI仿宋-GB2312" w:hAnsi="CESI仿宋-GB2312" w:eastAsia="CESI仿宋-GB2312" w:cs="CESI仿宋-GB2312" w:hint="eastAsia"/>
          <w:color w:val="000000"/>
          <w:kern w:val="0"/>
        </w:rPr>
      </w:pPr>
      <w:r>
        <w:rPr>
          <w:rFonts w:ascii="黑体" w:hAnsi="黑体" w:cs="黑体" w:hint="eastAsia" w:eastAsia="黑体"/>
          <w:b w:val="false"/>
          <w:bCs w:val="false"/>
          <w:color w:val="000000"/>
        </w:rPr>
        <w:t>第二十五条</w:t>
      </w:r>
      <w:r>
        <w:rPr>
          <w:rFonts w:ascii="CESI仿宋-GB2312" w:hAnsi="CESI仿宋-GB2312" w:cs="CESI仿宋-GB2312" w:hint="eastAsia" w:eastAsia="CESI仿宋-GB2312"/>
          <w:b/>
          <w:bCs/>
          <w:color w:val="000000"/>
          <w:kern w:val="0"/>
          <w:u w:val="none"/>
        </w:rPr>
        <w:t xml:space="preserve"> </w:t>
      </w:r>
      <w:r>
        <w:rPr>
          <w:rFonts w:ascii="CESI仿宋-GB2312" w:hAnsi="CESI仿宋-GB2312" w:cs="CESI仿宋-GB2312" w:hint="eastAsia" w:eastAsia="CESI仿宋-GB2312"/>
          <w:color w:val="000000"/>
          <w:kern w:val="0"/>
          <w:u w:val="none"/>
        </w:rPr>
        <w:t>市会展业主管部</w:t>
      </w:r>
      <w:r>
        <w:rPr>
          <w:rFonts w:ascii="CESI仿宋-GB2312" w:hAnsi="CESI仿宋-GB2312" w:cs="CESI仿宋-GB2312" w:hint="eastAsia" w:eastAsia="CESI仿宋-GB2312"/>
          <w:color w:val="000000"/>
          <w:kern w:val="0"/>
        </w:rPr>
        <w:t>门应当会同有关部门加强业务协同办理，优化政务服务流程，推动信息共享。</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CESI仿宋-GB2312" w:hAnsi="CESI仿宋-GB2312" w:eastAsia="CESI仿宋-GB2312" w:cs="CESI仿宋-GB2312" w:hint="eastAsia"/>
          <w:color w:val="000000"/>
          <w:kern w:val="0"/>
          <w:u w:val="none"/>
        </w:rPr>
      </w:pPr>
      <w:r>
        <w:rPr>
          <w:rFonts w:ascii="CESI仿宋-GB2312" w:hAnsi="CESI仿宋-GB2312" w:cs="CESI仿宋-GB2312" w:hint="eastAsia" w:eastAsia="CESI仿宋-GB2312"/>
          <w:color w:val="000000"/>
          <w:kern w:val="0"/>
        </w:rPr>
        <w:t>会展活动面向社会公众且每场次预计参加人数一千人以上，按照规定</w:t>
      </w:r>
      <w:r>
        <w:rPr>
          <w:rFonts w:ascii="CESI仿宋-GB2312" w:hAnsi="CESI仿宋-GB2312" w:cs="CESI仿宋-GB2312" w:hint="eastAsia" w:eastAsia="CESI仿宋-GB2312"/>
          <w:color w:val="000000"/>
          <w:kern w:val="0"/>
          <w:u w:val="none"/>
        </w:rPr>
        <w:t>应当申请安全许可的，公安机关组织有关部门进行联合审议，并及时通报有关安全许可申请和审批情况。</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CESI仿宋-GB2312" w:hAnsi="CESI仿宋-GB2312" w:eastAsia="CESI仿宋-GB2312" w:cs="CESI仿宋-GB2312" w:hint="eastAsia"/>
          <w:color w:val="000000"/>
          <w:kern w:val="0"/>
          <w:u w:val="none"/>
        </w:rPr>
      </w:pPr>
      <w:r>
        <w:rPr>
          <w:rFonts w:ascii="CESI仿宋-GB2312" w:hAnsi="CESI仿宋-GB2312" w:cs="CESI仿宋-GB2312" w:hint="eastAsia" w:eastAsia="CESI仿宋-GB2312"/>
          <w:color w:val="000000"/>
          <w:kern w:val="0"/>
          <w:u w:val="none"/>
        </w:rPr>
        <w:t>会展活动面向社会公众且每场次预计参加人数一千人以下依法不需要申请安全许可的，举办单位可以根据实际情况在活动举办前</w:t>
      </w:r>
      <w:r>
        <w:rPr>
          <w:rFonts w:ascii="CESI仿宋-GB2312" w:hAnsi="CESI仿宋-GB2312" w:cs="CESI仿宋-GB2312" w:hint="eastAsia" w:eastAsia="CESI仿宋-GB2312"/>
          <w:kern w:val="0"/>
          <w:u w:val="none"/>
        </w:rPr>
        <w:t>向公安机关告知会展活动的时间、地点、人数、内</w:t>
      </w:r>
      <w:r>
        <w:rPr>
          <w:rFonts w:ascii="CESI仿宋-GB2312" w:hAnsi="CESI仿宋-GB2312" w:cs="CESI仿宋-GB2312" w:hint="eastAsia" w:eastAsia="CESI仿宋-GB2312"/>
          <w:color w:val="000000"/>
          <w:kern w:val="0"/>
          <w:u w:val="none"/>
        </w:rPr>
        <w:t>容以及组织方式。</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CESI仿宋-GB2312" w:hAnsi="CESI仿宋-GB2312" w:eastAsia="CESI仿宋-GB2312" w:cs="CESI仿宋-GB2312" w:hint="eastAsia"/>
          <w:color w:val="000000"/>
          <w:kern w:val="0"/>
        </w:rPr>
      </w:pPr>
      <w:r>
        <w:rPr>
          <w:rFonts w:ascii="黑体" w:hAnsi="黑体" w:cs="黑体" w:hint="eastAsia" w:eastAsia="黑体"/>
          <w:b w:val="false"/>
          <w:bCs w:val="false"/>
          <w:color w:val="000000"/>
        </w:rPr>
        <w:t>第二十六条</w:t>
      </w:r>
      <w:r>
        <w:rPr>
          <w:rFonts w:ascii="CESI仿宋-GB2312" w:hAnsi="CESI仿宋-GB2312" w:cs="CESI仿宋-GB2312" w:hint="eastAsia" w:eastAsia="CESI仿宋-GB2312"/>
          <w:b/>
          <w:bCs/>
          <w:color w:val="000000"/>
          <w:kern w:val="0"/>
          <w:u w:val="none"/>
        </w:rPr>
        <w:t xml:space="preserve"> </w:t>
      </w:r>
      <w:r>
        <w:rPr>
          <w:rFonts w:ascii="CESI仿宋-GB2312" w:hAnsi="CESI仿宋-GB2312" w:cs="CESI仿宋-GB2312" w:hint="eastAsia" w:eastAsia="CESI仿宋-GB2312"/>
          <w:color w:val="000000"/>
          <w:kern w:val="0"/>
          <w:u w:val="none"/>
        </w:rPr>
        <w:t>市会展业主管部门应当协助有关部门优化会展活动展品的通关手续和监管流程。各口岸管理部门依照职责和规定为会展活动提供通关便利</w:t>
      </w:r>
      <w:r>
        <w:rPr>
          <w:rFonts w:ascii="CESI仿宋-GB2312" w:hAnsi="CESI仿宋-GB2312" w:cs="CESI仿宋-GB2312" w:hint="eastAsia" w:eastAsia="CESI仿宋-GB2312"/>
          <w:color w:val="000000"/>
          <w:kern w:val="0"/>
        </w:rPr>
        <w:t>，</w:t>
      </w:r>
      <w:r>
        <w:rPr>
          <w:rFonts w:ascii="CESI仿宋-GB2312" w:hAnsi="CESI仿宋-GB2312" w:cs="CESI仿宋-GB2312" w:hint="eastAsia" w:eastAsia="CESI仿宋-GB2312"/>
          <w:color w:val="000000"/>
          <w:kern w:val="0"/>
          <w:u w:val="none"/>
        </w:rPr>
        <w:t>满足会展活动特殊需求，</w:t>
      </w:r>
      <w:r>
        <w:rPr>
          <w:rFonts w:ascii="CESI仿宋-GB2312" w:hAnsi="CESI仿宋-GB2312" w:cs="CESI仿宋-GB2312" w:hint="eastAsia" w:eastAsia="CESI仿宋-GB2312"/>
          <w:color w:val="000000"/>
          <w:kern w:val="0"/>
        </w:rPr>
        <w:t>提高通关效率，便利展品展后处置。</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CESI仿宋-GB2312" w:hAnsi="CESI仿宋-GB2312" w:eastAsia="CESI仿宋-GB2312" w:cs="CESI仿宋-GB2312" w:hint="eastAsia"/>
          <w:color w:val="000000"/>
          <w:kern w:val="0"/>
        </w:rPr>
      </w:pPr>
      <w:r>
        <w:rPr>
          <w:rFonts w:ascii="CESI仿宋-GB2312" w:hAnsi="CESI仿宋-GB2312" w:cs="CESI仿宋-GB2312" w:hint="eastAsia" w:eastAsia="CESI仿宋-GB2312"/>
          <w:color w:val="000000"/>
          <w:kern w:val="0"/>
        </w:rPr>
        <w:t>出入境管理部门应当按照规定为会展活动相关人员提供出入境便利。</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CESI仿宋-GB2312" w:hAnsi="CESI仿宋-GB2312" w:eastAsia="CESI仿宋-GB2312" w:cs="CESI仿宋-GB2312" w:hint="eastAsia"/>
          <w:color w:val="000000"/>
          <w:kern w:val="0"/>
          <w:u w:val="none"/>
        </w:rPr>
      </w:pPr>
      <w:r>
        <w:rPr>
          <w:rFonts w:ascii="黑体" w:hAnsi="黑体" w:cs="黑体" w:hint="eastAsia" w:eastAsia="黑体"/>
          <w:b w:val="false"/>
          <w:bCs w:val="false"/>
          <w:color w:val="000000"/>
        </w:rPr>
        <w:t>第二十七条</w:t>
      </w:r>
      <w:r>
        <w:rPr>
          <w:rFonts w:ascii="CESI仿宋-GB2312" w:hAnsi="CESI仿宋-GB2312" w:cs="CESI仿宋-GB2312" w:hint="eastAsia" w:eastAsia="CESI仿宋-GB2312"/>
          <w:b/>
          <w:bCs/>
          <w:color w:val="000000"/>
          <w:kern w:val="0"/>
          <w:u w:val="none"/>
        </w:rPr>
        <w:t xml:space="preserve"> </w:t>
      </w:r>
      <w:r>
        <w:rPr>
          <w:rFonts w:ascii="CESI仿宋-GB2312" w:hAnsi="CESI仿宋-GB2312" w:cs="CESI仿宋-GB2312" w:hint="eastAsia" w:eastAsia="CESI仿宋-GB2312"/>
          <w:color w:val="000000"/>
          <w:kern w:val="0"/>
          <w:u w:val="none"/>
        </w:rPr>
        <w:t>会展活动期间，场馆配套停车泊位不足时，公安机关交通管理部门应当根据举办单位的需求在会展场馆周边合理设置临时停车泊位。</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CESI仿宋-GB2312" w:hAnsi="CESI仿宋-GB2312" w:eastAsia="CESI仿宋-GB2312" w:cs="CESI仿宋-GB2312" w:hint="eastAsia"/>
          <w:color w:val="000000"/>
          <w:kern w:val="0"/>
        </w:rPr>
      </w:pPr>
      <w:r>
        <w:rPr>
          <w:rFonts w:ascii="黑体" w:hAnsi="黑体" w:cs="黑体" w:hint="eastAsia" w:eastAsia="黑体"/>
          <w:b w:val="false"/>
          <w:bCs w:val="false"/>
          <w:color w:val="000000"/>
        </w:rPr>
        <w:t>第二十八条</w:t>
      </w:r>
      <w:r>
        <w:rPr>
          <w:rFonts w:ascii="CESI仿宋-GB2312" w:hAnsi="CESI仿宋-GB2312" w:cs="CESI仿宋-GB2312" w:hint="eastAsia" w:eastAsia="CESI仿宋-GB2312"/>
          <w:b/>
          <w:bCs/>
          <w:color w:val="000000"/>
          <w:kern w:val="0"/>
        </w:rPr>
        <w:t xml:space="preserve"> </w:t>
      </w:r>
      <w:r>
        <w:rPr>
          <w:rFonts w:ascii="CESI仿宋-GB2312" w:hAnsi="CESI仿宋-GB2312" w:cs="CESI仿宋-GB2312" w:hint="eastAsia" w:eastAsia="CESI仿宋-GB2312"/>
          <w:color w:val="000000"/>
          <w:kern w:val="0"/>
        </w:rPr>
        <w:t>市人民政府应当建立重大会展活动综合保障机制，协调</w:t>
      </w:r>
      <w:r>
        <w:rPr>
          <w:rFonts w:ascii="CESI仿宋-GB2312" w:hAnsi="CESI仿宋-GB2312" w:cs="CESI仿宋-GB2312" w:hint="eastAsia" w:eastAsia="CESI仿宋-GB2312"/>
          <w:color w:val="000000"/>
          <w:kern w:val="0"/>
          <w:u w:val="none"/>
          <w:shd w:fill="auto" w:val="clear"/>
        </w:rPr>
        <w:t>会展业主管部门和</w:t>
      </w:r>
      <w:r>
        <w:rPr>
          <w:rFonts w:ascii="CESI仿宋-GB2312" w:hAnsi="CESI仿宋-GB2312" w:cs="CESI仿宋-GB2312" w:hint="eastAsia" w:eastAsia="CESI仿宋-GB2312"/>
          <w:color w:val="000000"/>
          <w:kern w:val="0"/>
        </w:rPr>
        <w:t>公安、卫健、应急、消防救援、城市管理行政执法、市场监管、交通、文旅等有关部门开展安全管理、服务保障、应急救援等工作，保障会展活动正常进行。</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CESI仿宋-GB2312" w:hAnsi="CESI仿宋-GB2312" w:eastAsia="CESI仿宋-GB2312" w:cs="CESI仿宋-GB2312" w:hint="eastAsia"/>
          <w:color w:val="000000"/>
          <w:kern w:val="0"/>
        </w:rPr>
      </w:pPr>
      <w:r>
        <w:rPr>
          <w:rFonts w:ascii="CESI仿宋-GB2312" w:hAnsi="CESI仿宋-GB2312" w:cs="CESI仿宋-GB2312" w:hint="eastAsia" w:eastAsia="CESI仿宋-GB2312"/>
          <w:color w:val="000000"/>
          <w:kern w:val="0"/>
        </w:rPr>
        <w:t>有下列情形之一的，举办单位可以向市</w:t>
      </w:r>
      <w:r>
        <w:rPr>
          <w:rFonts w:ascii="CESI仿宋-GB2312" w:hAnsi="CESI仿宋-GB2312" w:cs="CESI仿宋-GB2312" w:hint="eastAsia" w:eastAsia="CESI仿宋-GB2312"/>
          <w:color w:val="000000"/>
          <w:kern w:val="0"/>
          <w:u w:val="none"/>
        </w:rPr>
        <w:t>会展业主管</w:t>
      </w:r>
      <w:r>
        <w:rPr>
          <w:rFonts w:ascii="CESI仿宋-GB2312" w:hAnsi="CESI仿宋-GB2312" w:cs="CESI仿宋-GB2312" w:hint="eastAsia" w:eastAsia="CESI仿宋-GB2312"/>
          <w:color w:val="000000"/>
          <w:kern w:val="0"/>
        </w:rPr>
        <w:t>部门申请重大会展活动综合保障，市</w:t>
      </w:r>
      <w:r>
        <w:rPr>
          <w:rFonts w:ascii="CESI仿宋-GB2312" w:hAnsi="CESI仿宋-GB2312" w:cs="CESI仿宋-GB2312" w:hint="eastAsia" w:eastAsia="CESI仿宋-GB2312"/>
          <w:color w:val="000000"/>
          <w:kern w:val="0"/>
          <w:u w:val="none"/>
        </w:rPr>
        <w:t>会展业主管</w:t>
      </w:r>
      <w:r>
        <w:rPr>
          <w:rFonts w:ascii="CESI仿宋-GB2312" w:hAnsi="CESI仿宋-GB2312" w:cs="CESI仿宋-GB2312" w:hint="eastAsia" w:eastAsia="CESI仿宋-GB2312"/>
          <w:color w:val="000000"/>
          <w:kern w:val="0"/>
        </w:rPr>
        <w:t>部门认为有必要的，应当向市人民政府提请启动综合保障工作：</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CESI仿宋-GB2312" w:hAnsi="CESI仿宋-GB2312" w:eastAsia="CESI仿宋-GB2312" w:cs="CESI仿宋-GB2312" w:hint="eastAsia"/>
          <w:color w:val="000000"/>
          <w:kern w:val="0"/>
        </w:rPr>
      </w:pPr>
      <w:r>
        <w:rPr>
          <w:rFonts w:ascii="CESI仿宋-GB2312" w:hAnsi="CESI仿宋-GB2312" w:cs="CESI仿宋-GB2312" w:hint="eastAsia" w:eastAsia="CESI仿宋-GB2312"/>
          <w:color w:val="000000"/>
          <w:kern w:val="0"/>
        </w:rPr>
        <w:t>（一）展览面积达五万平方米以上的会展活动；</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CESI仿宋-GB2312" w:hAnsi="CESI仿宋-GB2312" w:eastAsia="CESI仿宋-GB2312" w:cs="CESI仿宋-GB2312" w:hint="eastAsia"/>
          <w:color w:val="000000"/>
          <w:kern w:val="0"/>
        </w:rPr>
      </w:pPr>
      <w:r>
        <w:rPr>
          <w:rFonts w:ascii="CESI仿宋-GB2312" w:hAnsi="CESI仿宋-GB2312" w:cs="CESI仿宋-GB2312" w:hint="eastAsia" w:eastAsia="CESI仿宋-GB2312"/>
          <w:color w:val="000000"/>
          <w:kern w:val="0"/>
        </w:rPr>
        <w:t>（二）国际性、国家级、专业类高端会展活动。</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CESI仿宋-GB2312" w:hAnsi="CESI仿宋-GB2312" w:eastAsia="CESI仿宋-GB2312" w:cs="CESI仿宋-GB2312" w:hint="eastAsia"/>
          <w:color w:val="000000"/>
          <w:kern w:val="0"/>
        </w:rPr>
      </w:pPr>
      <w:r>
        <w:rPr>
          <w:rFonts w:ascii="CESI仿宋-GB2312" w:hAnsi="CESI仿宋-GB2312" w:cs="CESI仿宋-GB2312" w:hint="eastAsia" w:eastAsia="CESI仿宋-GB2312"/>
          <w:color w:val="000000"/>
          <w:kern w:val="0"/>
          <w:u w:val="none"/>
          <w:shd w:fill="auto" w:val="clear"/>
        </w:rPr>
        <w:t>会展业主管部门和</w:t>
      </w:r>
      <w:r>
        <w:rPr>
          <w:rFonts w:ascii="CESI仿宋-GB2312" w:hAnsi="CESI仿宋-GB2312" w:cs="CESI仿宋-GB2312" w:hint="eastAsia" w:eastAsia="CESI仿宋-GB2312"/>
          <w:color w:val="000000"/>
          <w:kern w:val="0"/>
        </w:rPr>
        <w:t>公安、卫健、市场监管等有关部门根据需要派员进驻会展场馆，提供服务，加强监管，接受并处理投诉。</w:t>
      </w:r>
    </w:p>
    <w:p>
      <w:pPr>
        <w:pStyle w:val="Normal"/>
        <w:keepNext w:val="false"/>
        <w:keepLines w:val="false"/>
        <w:pageBreakBefore w:val="false"/>
        <w:widowControl w:val="false"/>
        <w:kinsoku w:val="true"/>
        <w:overflowPunct w:val="true"/>
        <w:autoSpaceDE w:val="true"/>
        <w:bidi w:val="0"/>
        <w:snapToGrid w:val="true"/>
        <w:spacing w:lineRule="exact" w:line="600" w:before="321" w:after="321"/>
        <w:jc w:val="center"/>
        <w:textAlignment w:val="auto"/>
        <w:rPr>
          <w:rFonts w:ascii="CESI黑体-GB2312" w:hAnsi="CESI黑体-GB2312" w:eastAsia="CESI黑体-GB2312" w:cs="CESI黑体-GB2312" w:hint="eastAsia"/>
          <w:color w:val="000000"/>
          <w:kern w:val="0"/>
        </w:rPr>
      </w:pPr>
      <w:r>
        <w:rPr>
          <w:rFonts w:ascii="CESI黑体-GB2312" w:hAnsi="CESI黑体-GB2312" w:cs="CESI黑体-GB2312" w:hint="eastAsia" w:eastAsia="CESI黑体-GB2312"/>
          <w:color w:val="000000"/>
          <w:kern w:val="0"/>
        </w:rPr>
        <w:t>第四章  规范和管理</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CESI仿宋-GB2312" w:hAnsi="CESI仿宋-GB2312" w:eastAsia="CESI仿宋-GB2312" w:cs="CESI仿宋-GB2312" w:hint="eastAsia"/>
          <w:color w:val="000000"/>
          <w:kern w:val="0"/>
        </w:rPr>
      </w:pPr>
      <w:r>
        <w:rPr>
          <w:rFonts w:ascii="黑体" w:hAnsi="黑体" w:cs="黑体" w:hint="eastAsia" w:eastAsia="黑体"/>
          <w:b w:val="false"/>
          <w:bCs w:val="false"/>
          <w:color w:val="000000"/>
        </w:rPr>
        <w:t>第二十九条</w:t>
      </w:r>
      <w:r>
        <w:rPr>
          <w:rFonts w:ascii="CESI仿宋-GB2312" w:hAnsi="CESI仿宋-GB2312" w:cs="CESI仿宋-GB2312" w:hint="eastAsia" w:eastAsia="CESI仿宋-GB2312"/>
          <w:b/>
          <w:bCs/>
          <w:color w:val="000000"/>
          <w:kern w:val="0"/>
        </w:rPr>
        <w:t xml:space="preserve"> </w:t>
      </w:r>
      <w:r>
        <w:rPr>
          <w:rFonts w:ascii="CESI仿宋-GB2312" w:hAnsi="CESI仿宋-GB2312" w:cs="CESI仿宋-GB2312" w:hint="eastAsia" w:eastAsia="CESI仿宋-GB2312"/>
          <w:color w:val="000000"/>
          <w:kern w:val="0"/>
        </w:rPr>
        <w:t>举办单位发布会展信息和宣传广告应当客观、准确、真实，会展活动及其内容应当与发布的信息相一致。</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CESI仿宋-GB2312" w:hAnsi="CESI仿宋-GB2312" w:eastAsia="CESI仿宋-GB2312" w:cs="CESI仿宋-GB2312" w:hint="eastAsia"/>
          <w:color w:val="000000"/>
          <w:kern w:val="0"/>
        </w:rPr>
      </w:pPr>
      <w:r>
        <w:rPr>
          <w:rFonts w:ascii="CESI仿宋-GB2312" w:hAnsi="CESI仿宋-GB2312" w:cs="CESI仿宋-GB2312" w:hint="eastAsia" w:eastAsia="CESI仿宋-GB2312"/>
          <w:color w:val="000000"/>
          <w:kern w:val="0"/>
        </w:rPr>
        <w:t>会展信息发布后，举办单位变更会展活动名称、时间、地点、规模等事项或者取消会展活动的，应当及时告知相关单位和个人，并按照合同约定妥善处理有关事宜。</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CESI仿宋-GB2312" w:hAnsi="CESI仿宋-GB2312" w:eastAsia="CESI仿宋-GB2312" w:cs="CESI仿宋-GB2312" w:hint="eastAsia"/>
          <w:b/>
          <w:bCs/>
          <w:color w:val="000000"/>
          <w:kern w:val="0"/>
        </w:rPr>
      </w:pPr>
      <w:r>
        <w:rPr>
          <w:rFonts w:ascii="CESI仿宋-GB2312" w:hAnsi="CESI仿宋-GB2312" w:cs="CESI仿宋-GB2312" w:hint="eastAsia" w:eastAsia="CESI仿宋-GB2312"/>
          <w:color w:val="000000"/>
          <w:kern w:val="0"/>
        </w:rPr>
        <w:t>鼓励举办单位、场馆单位在会展活动结束后向市</w:t>
      </w:r>
      <w:r>
        <w:rPr>
          <w:rFonts w:ascii="CESI仿宋-GB2312" w:hAnsi="CESI仿宋-GB2312" w:cs="CESI仿宋-GB2312" w:hint="eastAsia" w:eastAsia="CESI仿宋-GB2312"/>
          <w:color w:val="000000"/>
          <w:kern w:val="0"/>
          <w:u w:val="none"/>
        </w:rPr>
        <w:t>会展业主管</w:t>
      </w:r>
      <w:r>
        <w:rPr>
          <w:rFonts w:ascii="CESI仿宋-GB2312" w:hAnsi="CESI仿宋-GB2312" w:cs="CESI仿宋-GB2312" w:hint="eastAsia" w:eastAsia="CESI仿宋-GB2312"/>
          <w:color w:val="000000"/>
          <w:kern w:val="0"/>
        </w:rPr>
        <w:t>部门提供会展活动名称、时间、地点、规模等信息。</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CESI仿宋-GB2312" w:hAnsi="CESI仿宋-GB2312" w:eastAsia="CESI仿宋-GB2312" w:cs="CESI仿宋-GB2312" w:hint="eastAsia"/>
          <w:color w:val="000000"/>
          <w:kern w:val="0"/>
          <w:u w:val="none"/>
        </w:rPr>
      </w:pPr>
      <w:r>
        <w:rPr>
          <w:rFonts w:ascii="黑体" w:hAnsi="黑体" w:cs="黑体" w:hint="eastAsia" w:eastAsia="黑体"/>
          <w:b w:val="false"/>
          <w:bCs w:val="false"/>
          <w:color w:val="000000"/>
        </w:rPr>
        <w:t>第三十条</w:t>
      </w:r>
      <w:r>
        <w:rPr>
          <w:rFonts w:ascii="CESI仿宋-GB2312" w:hAnsi="CESI仿宋-GB2312" w:cs="CESI仿宋-GB2312" w:hint="eastAsia" w:eastAsia="CESI仿宋-GB2312"/>
          <w:b/>
          <w:bCs/>
          <w:color w:val="000000"/>
          <w:kern w:val="0"/>
        </w:rPr>
        <w:t xml:space="preserve"> </w:t>
      </w:r>
      <w:r>
        <w:rPr>
          <w:rFonts w:ascii="CESI仿宋-GB2312" w:hAnsi="CESI仿宋-GB2312" w:cs="CESI仿宋-GB2312" w:hint="eastAsia" w:eastAsia="CESI仿宋-GB2312"/>
          <w:color w:val="000000"/>
          <w:kern w:val="0"/>
        </w:rPr>
        <w:t>会展场馆应当符合安全、消防、卫生、环保要求，配备监控、</w:t>
      </w:r>
      <w:r>
        <w:rPr>
          <w:rFonts w:ascii="CESI仿宋-GB2312" w:hAnsi="CESI仿宋-GB2312" w:cs="CESI仿宋-GB2312" w:hint="eastAsia" w:eastAsia="CESI仿宋-GB2312"/>
          <w:color w:val="000000"/>
          <w:kern w:val="0"/>
          <w:u w:val="none"/>
        </w:rPr>
        <w:t>安检门以及其他报警安全检查系统，在显著位置设置安全警示和引导标识。</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CESI仿宋-GB2312" w:hAnsi="CESI仿宋-GB2312" w:eastAsia="CESI仿宋-GB2312" w:cs="CESI仿宋-GB2312" w:hint="eastAsia"/>
          <w:kern w:val="0"/>
          <w:u w:val="none"/>
        </w:rPr>
      </w:pPr>
      <w:r>
        <w:rPr>
          <w:rFonts w:ascii="CESI仿宋-GB2312" w:hAnsi="CESI仿宋-GB2312" w:cs="CESI仿宋-GB2312" w:hint="eastAsia" w:eastAsia="CESI仿宋-GB2312"/>
          <w:kern w:val="0"/>
          <w:u w:val="none"/>
        </w:rPr>
        <w:t>场馆单位应当定期维护会展场馆及其设施，并使设备处于完好状态。</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CESI仿宋-GB2312" w:hAnsi="CESI仿宋-GB2312" w:eastAsia="CESI仿宋-GB2312" w:cs="CESI仿宋-GB2312" w:hint="eastAsia"/>
          <w:color w:val="000000"/>
          <w:kern w:val="0"/>
        </w:rPr>
      </w:pPr>
      <w:r>
        <w:rPr>
          <w:rFonts w:ascii="黑体" w:hAnsi="黑体" w:cs="黑体" w:hint="eastAsia" w:eastAsia="黑体"/>
          <w:b w:val="false"/>
          <w:bCs w:val="false"/>
          <w:color w:val="000000"/>
        </w:rPr>
        <w:t xml:space="preserve">第三十一条 </w:t>
      </w:r>
      <w:r>
        <w:rPr>
          <w:rFonts w:ascii="CESI仿宋-GB2312" w:hAnsi="CESI仿宋-GB2312" w:cs="CESI仿宋-GB2312" w:hint="eastAsia" w:eastAsia="CESI仿宋-GB2312"/>
          <w:color w:val="000000"/>
          <w:kern w:val="0"/>
        </w:rPr>
        <w:t>举办单位承担安全主体责任，制定安全工作方案和应急预案。</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CESI仿宋-GB2312" w:hAnsi="CESI仿宋-GB2312" w:eastAsia="CESI仿宋-GB2312" w:cs="CESI仿宋-GB2312" w:hint="eastAsia"/>
          <w:color w:val="000000"/>
          <w:kern w:val="0"/>
        </w:rPr>
      </w:pPr>
      <w:r>
        <w:rPr>
          <w:rFonts w:ascii="CESI仿宋-GB2312" w:hAnsi="CESI仿宋-GB2312" w:cs="CESI仿宋-GB2312" w:hint="eastAsia" w:eastAsia="CESI仿宋-GB2312"/>
          <w:color w:val="000000"/>
          <w:kern w:val="0"/>
        </w:rPr>
        <w:t>举办单位应当与场馆单位签订安全协议，明确双方的安全责任和义务。</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CESI仿宋-GB2312" w:hAnsi="CESI仿宋-GB2312" w:eastAsia="CESI仿宋-GB2312" w:cs="CESI仿宋-GB2312" w:hint="eastAsia"/>
          <w:color w:val="000000"/>
          <w:kern w:val="0"/>
          <w:u w:val="none"/>
        </w:rPr>
      </w:pPr>
      <w:r>
        <w:rPr>
          <w:rFonts w:ascii="CESI仿宋-GB2312" w:hAnsi="CESI仿宋-GB2312" w:cs="CESI仿宋-GB2312" w:hint="eastAsia" w:eastAsia="CESI仿宋-GB2312"/>
          <w:color w:val="000000"/>
          <w:kern w:val="0"/>
        </w:rPr>
        <w:t>举办单位、参展单位和会展服务单位应当按照安全、消防、卫生、环保要求布置会展活动现场。搭建会展活动临时设施或者对展位作特殊装饰的，应当委托具有相应资质的单位设计、施工以</w:t>
      </w:r>
      <w:r>
        <w:rPr>
          <w:rFonts w:ascii="CESI仿宋-GB2312" w:hAnsi="CESI仿宋-GB2312" w:cs="CESI仿宋-GB2312" w:hint="eastAsia" w:eastAsia="CESI仿宋-GB2312"/>
          <w:color w:val="000000"/>
          <w:kern w:val="0"/>
          <w:u w:val="none"/>
        </w:rPr>
        <w:t>及验收。</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CESI仿宋-GB2312" w:hAnsi="CESI仿宋-GB2312" w:eastAsia="CESI仿宋-GB2312" w:cs="CESI仿宋-GB2312" w:hint="eastAsia"/>
          <w:kern w:val="0"/>
          <w:u w:val="single"/>
        </w:rPr>
      </w:pPr>
      <w:r>
        <w:rPr>
          <w:rFonts w:ascii="黑体" w:hAnsi="黑体" w:cs="黑体" w:hint="eastAsia" w:eastAsia="黑体"/>
          <w:b w:val="false"/>
          <w:bCs w:val="false"/>
          <w:color w:val="000000"/>
        </w:rPr>
        <w:t xml:space="preserve">第三十二条 </w:t>
      </w:r>
      <w:r>
        <w:rPr>
          <w:rFonts w:ascii="CESI仿宋-GB2312" w:hAnsi="CESI仿宋-GB2312" w:cs="CESI仿宋-GB2312" w:hint="eastAsia" w:eastAsia="CESI仿宋-GB2312"/>
          <w:kern w:val="0"/>
          <w:u w:val="none"/>
        </w:rPr>
        <w:t>会展活动面向社会公众且每场次预计参加人数一千人以上，按照规定需要进行安全风险评估的，由举办单位自行组织或者聘请有资质的机构进行评估。</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CESI仿宋-GB2312" w:hAnsi="CESI仿宋-GB2312" w:eastAsia="CESI仿宋-GB2312" w:cs="CESI仿宋-GB2312" w:hint="eastAsia"/>
          <w:color w:val="000000"/>
          <w:kern w:val="0"/>
        </w:rPr>
      </w:pPr>
      <w:r>
        <w:rPr>
          <w:rFonts w:ascii="黑体" w:hAnsi="黑体" w:cs="黑体" w:hint="eastAsia" w:eastAsia="黑体"/>
          <w:b w:val="false"/>
          <w:bCs w:val="false"/>
          <w:color w:val="000000"/>
        </w:rPr>
        <w:t xml:space="preserve">第三十三条 </w:t>
      </w:r>
      <w:r>
        <w:rPr>
          <w:rFonts w:ascii="CESI仿宋-GB2312" w:hAnsi="CESI仿宋-GB2312" w:cs="CESI仿宋-GB2312" w:hint="eastAsia" w:eastAsia="CESI仿宋-GB2312"/>
          <w:color w:val="000000"/>
          <w:kern w:val="0"/>
        </w:rPr>
        <w:t>市人民政府及其有关部门应当建立会展活动突发事件</w:t>
      </w:r>
      <w:r>
        <w:rPr>
          <w:rFonts w:ascii="CESI仿宋-GB2312" w:hAnsi="CESI仿宋-GB2312" w:cs="CESI仿宋-GB2312" w:hint="eastAsia" w:eastAsia="CESI仿宋-GB2312"/>
          <w:color w:val="000000"/>
          <w:kern w:val="0"/>
          <w:u w:val="none"/>
        </w:rPr>
        <w:t>应急处置</w:t>
      </w:r>
      <w:r>
        <w:rPr>
          <w:rFonts w:ascii="CESI仿宋-GB2312" w:hAnsi="CESI仿宋-GB2312" w:cs="CESI仿宋-GB2312" w:hint="eastAsia" w:eastAsia="CESI仿宋-GB2312"/>
          <w:color w:val="000000"/>
          <w:kern w:val="0"/>
        </w:rPr>
        <w:t>机制，及时处置突发事件。</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CESI仿宋-GB2312" w:hAnsi="CESI仿宋-GB2312" w:eastAsia="CESI仿宋-GB2312" w:cs="CESI仿宋-GB2312" w:hint="eastAsia"/>
          <w:color w:val="000000"/>
          <w:kern w:val="0"/>
        </w:rPr>
      </w:pPr>
      <w:r>
        <w:rPr>
          <w:rFonts w:ascii="CESI仿宋-GB2312" w:hAnsi="CESI仿宋-GB2312" w:cs="CESI仿宋-GB2312" w:hint="eastAsia" w:eastAsia="CESI仿宋-GB2312"/>
          <w:color w:val="000000"/>
          <w:kern w:val="0"/>
        </w:rPr>
        <w:t>会展活动期间发生公共安全事故或者其他突发事件的，举办单位应当立即启动应急预案，并</w:t>
      </w:r>
      <w:r>
        <w:rPr>
          <w:rFonts w:ascii="CESI仿宋-GB2312" w:hAnsi="CESI仿宋-GB2312" w:cs="CESI仿宋-GB2312" w:hint="eastAsia" w:eastAsia="CESI仿宋-GB2312"/>
          <w:color w:val="000000"/>
          <w:kern w:val="0"/>
          <w:u w:val="none"/>
        </w:rPr>
        <w:t>根据事件性质</w:t>
      </w:r>
      <w:r>
        <w:rPr>
          <w:rFonts w:ascii="CESI仿宋-GB2312" w:hAnsi="CESI仿宋-GB2312" w:cs="CESI仿宋-GB2312" w:hint="eastAsia" w:eastAsia="CESI仿宋-GB2312"/>
          <w:color w:val="000000"/>
          <w:kern w:val="0"/>
        </w:rPr>
        <w:t>及时报告</w:t>
      </w:r>
      <w:r>
        <w:rPr>
          <w:rFonts w:ascii="CESI仿宋-GB2312" w:hAnsi="CESI仿宋-GB2312" w:cs="CESI仿宋-GB2312" w:hint="eastAsia" w:eastAsia="CESI仿宋-GB2312"/>
          <w:color w:val="000000"/>
          <w:kern w:val="0"/>
          <w:u w:val="none"/>
        </w:rPr>
        <w:t>有关主管部门，同时应当报告市会展业主管部门。有关主管部</w:t>
      </w:r>
      <w:r>
        <w:rPr>
          <w:rFonts w:ascii="CESI仿宋-GB2312" w:hAnsi="CESI仿宋-GB2312" w:cs="CESI仿宋-GB2312" w:hint="eastAsia" w:eastAsia="CESI仿宋-GB2312"/>
          <w:color w:val="000000"/>
          <w:kern w:val="0"/>
        </w:rPr>
        <w:t>门应当依照职责及时启动相应的应急处置机制。</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CESI仿宋-GB2312" w:hAnsi="CESI仿宋-GB2312" w:eastAsia="CESI仿宋-GB2312" w:cs="CESI仿宋-GB2312" w:hint="eastAsia"/>
          <w:color w:val="000000"/>
          <w:kern w:val="0"/>
        </w:rPr>
      </w:pPr>
      <w:r>
        <w:rPr>
          <w:rFonts w:ascii="黑体" w:hAnsi="黑体" w:cs="黑体" w:hint="eastAsia" w:eastAsia="黑体"/>
          <w:b w:val="false"/>
          <w:bCs w:val="false"/>
          <w:color w:val="000000"/>
        </w:rPr>
        <w:t>第三十四条</w:t>
      </w:r>
      <w:r>
        <w:rPr>
          <w:rFonts w:ascii="CESI仿宋-GB2312" w:hAnsi="CESI仿宋-GB2312" w:cs="CESI仿宋-GB2312" w:hint="eastAsia" w:eastAsia="CESI仿宋-GB2312"/>
          <w:b/>
          <w:bCs/>
          <w:color w:val="000000"/>
          <w:kern w:val="0"/>
        </w:rPr>
        <w:t xml:space="preserve"> </w:t>
      </w:r>
      <w:r>
        <w:rPr>
          <w:rFonts w:ascii="CESI仿宋-GB2312" w:hAnsi="CESI仿宋-GB2312" w:cs="CESI仿宋-GB2312" w:hint="eastAsia" w:eastAsia="CESI仿宋-GB2312"/>
          <w:color w:val="000000"/>
          <w:kern w:val="0"/>
        </w:rPr>
        <w:t>参展单位不得进行虚假宣传，不得展示假冒伪劣、侵犯他人知识产权以及其他依法禁止展示的展品，不得违反合同约定在会展活动中展示与主题不符的展品或者从事其他与主题不符的活动。</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CESI仿宋-GB2312" w:hAnsi="CESI仿宋-GB2312" w:eastAsia="CESI仿宋-GB2312" w:cs="CESI仿宋-GB2312" w:hint="eastAsia"/>
          <w:color w:val="000000"/>
          <w:kern w:val="0"/>
        </w:rPr>
      </w:pPr>
      <w:r>
        <w:rPr>
          <w:rFonts w:ascii="CESI仿宋-GB2312" w:hAnsi="CESI仿宋-GB2312" w:cs="CESI仿宋-GB2312" w:hint="eastAsia" w:eastAsia="CESI仿宋-GB2312"/>
          <w:color w:val="000000"/>
          <w:kern w:val="0"/>
        </w:rPr>
        <w:t>参展单位在会展活动中有前款规定行为的，举办单位按照合同约定采取遮盖、下架其展品或者取消其参展资格等措施。</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CESI仿宋-GB2312" w:hAnsi="CESI仿宋-GB2312" w:eastAsia="CESI仿宋-GB2312" w:cs="CESI仿宋-GB2312" w:hint="eastAsia"/>
          <w:color w:val="000000"/>
          <w:kern w:val="0"/>
        </w:rPr>
      </w:pPr>
      <w:r>
        <w:rPr>
          <w:rFonts w:ascii="黑体" w:hAnsi="黑体" w:cs="黑体" w:hint="eastAsia" w:eastAsia="黑体"/>
          <w:b w:val="false"/>
          <w:bCs w:val="false"/>
          <w:color w:val="000000"/>
        </w:rPr>
        <w:t xml:space="preserve">第三十五条 </w:t>
      </w:r>
      <w:r>
        <w:rPr>
          <w:rFonts w:ascii="CESI仿宋-GB2312" w:hAnsi="CESI仿宋-GB2312" w:cs="CESI仿宋-GB2312" w:hint="eastAsia" w:eastAsia="CESI仿宋-GB2312"/>
          <w:color w:val="000000"/>
          <w:kern w:val="0"/>
        </w:rPr>
        <w:t>举办单位、场馆单位和会展服务单位收集参展单位和个人信息的，应当明示收集和使用信息的目的、方式和范围，并征得被收集者同意。</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CESI仿宋-GB2312" w:hAnsi="CESI仿宋-GB2312" w:eastAsia="CESI仿宋-GB2312" w:cs="CESI仿宋-GB2312" w:hint="eastAsia"/>
          <w:color w:val="000000"/>
          <w:kern w:val="0"/>
        </w:rPr>
      </w:pPr>
      <w:r>
        <w:rPr>
          <w:rFonts w:ascii="CESI仿宋-GB2312" w:hAnsi="CESI仿宋-GB2312" w:cs="CESI仿宋-GB2312" w:hint="eastAsia" w:eastAsia="CESI仿宋-GB2312"/>
          <w:color w:val="000000"/>
          <w:kern w:val="0"/>
        </w:rPr>
        <w:t>信息收集方应当采取有效措施防止信息泄露，不得超出被收集者同意的范围使用相关信息。</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CESI仿宋-GB2312" w:hAnsi="CESI仿宋-GB2312" w:eastAsia="CESI仿宋-GB2312" w:cs="CESI仿宋-GB2312" w:hint="eastAsia"/>
          <w:color w:val="000000"/>
          <w:kern w:val="0"/>
        </w:rPr>
      </w:pPr>
      <w:r>
        <w:rPr>
          <w:rFonts w:ascii="黑体" w:hAnsi="黑体" w:cs="黑体" w:hint="eastAsia" w:eastAsia="黑体"/>
          <w:b w:val="false"/>
          <w:bCs w:val="false"/>
          <w:color w:val="000000"/>
        </w:rPr>
        <w:t>第三十六条</w:t>
      </w:r>
      <w:r>
        <w:rPr>
          <w:rFonts w:ascii="CESI仿宋-GB2312" w:hAnsi="CESI仿宋-GB2312" w:cs="CESI仿宋-GB2312" w:hint="eastAsia" w:eastAsia="CESI仿宋-GB2312"/>
          <w:b/>
          <w:bCs/>
          <w:color w:val="000000"/>
          <w:kern w:val="0"/>
        </w:rPr>
        <w:t xml:space="preserve"> </w:t>
      </w:r>
      <w:r>
        <w:rPr>
          <w:rFonts w:ascii="CESI仿宋-GB2312" w:hAnsi="CESI仿宋-GB2312" w:cs="CESI仿宋-GB2312" w:hint="eastAsia" w:eastAsia="CESI仿宋-GB2312"/>
          <w:color w:val="000000"/>
          <w:kern w:val="0"/>
        </w:rPr>
        <w:t>举办单位应当在会展场馆设置投诉处理点，并在醒目位置公布会展业主管部门和公安、市场监管等有关部门的投诉举报电话。</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CESI仿宋-GB2312" w:hAnsi="CESI仿宋-GB2312" w:eastAsia="CESI仿宋-GB2312" w:cs="CESI仿宋-GB2312" w:hint="eastAsia"/>
          <w:color w:val="000000"/>
          <w:kern w:val="0"/>
        </w:rPr>
      </w:pPr>
      <w:r>
        <w:rPr>
          <w:rFonts w:ascii="黑体" w:hAnsi="黑体" w:cs="黑体" w:hint="eastAsia" w:eastAsia="黑体"/>
          <w:b w:val="false"/>
          <w:bCs w:val="false"/>
          <w:color w:val="000000"/>
        </w:rPr>
        <w:t>第三十七条</w:t>
      </w:r>
      <w:r>
        <w:rPr>
          <w:rFonts w:ascii="CESI仿宋-GB2312" w:hAnsi="CESI仿宋-GB2312" w:cs="CESI仿宋-GB2312" w:hint="eastAsia" w:eastAsia="CESI仿宋-GB2312"/>
          <w:b/>
          <w:bCs/>
          <w:color w:val="000000"/>
          <w:kern w:val="0"/>
        </w:rPr>
        <w:t xml:space="preserve"> </w:t>
      </w:r>
      <w:r>
        <w:rPr>
          <w:rFonts w:ascii="CESI仿宋-GB2312" w:hAnsi="CESI仿宋-GB2312" w:cs="CESI仿宋-GB2312" w:hint="eastAsia" w:eastAsia="CESI仿宋-GB2312"/>
          <w:color w:val="000000"/>
          <w:kern w:val="0"/>
        </w:rPr>
        <w:t>市</w:t>
      </w:r>
      <w:r>
        <w:rPr>
          <w:rFonts w:ascii="CESI仿宋-GB2312" w:hAnsi="CESI仿宋-GB2312" w:cs="CESI仿宋-GB2312" w:hint="eastAsia" w:eastAsia="CESI仿宋-GB2312"/>
          <w:color w:val="000000"/>
          <w:kern w:val="0"/>
          <w:u w:val="none"/>
        </w:rPr>
        <w:t>会展业主管部门</w:t>
      </w:r>
      <w:r>
        <w:rPr>
          <w:rFonts w:ascii="CESI仿宋-GB2312" w:hAnsi="CESI仿宋-GB2312" w:cs="CESI仿宋-GB2312" w:hint="eastAsia" w:eastAsia="CESI仿宋-GB2312"/>
          <w:color w:val="000000"/>
          <w:kern w:val="0"/>
        </w:rPr>
        <w:t>应当加强会展业信用建设，并与市公共信用信息平台建立网络链接，推动与有关部门监管信息的共享。</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CESI仿宋-GB2312" w:hAnsi="CESI仿宋-GB2312" w:eastAsia="CESI仿宋-GB2312" w:cs="CESI仿宋-GB2312" w:hint="eastAsia"/>
          <w:color w:val="000000"/>
          <w:kern w:val="0"/>
        </w:rPr>
      </w:pPr>
      <w:r>
        <w:rPr>
          <w:rFonts w:ascii="黑体" w:hAnsi="黑体" w:cs="黑体" w:hint="eastAsia" w:eastAsia="黑体"/>
          <w:b w:val="false"/>
          <w:bCs w:val="false"/>
          <w:color w:val="000000"/>
        </w:rPr>
        <w:t>第三十八条</w:t>
      </w:r>
      <w:r>
        <w:rPr>
          <w:rFonts w:ascii="CESI仿宋-GB2312" w:hAnsi="CESI仿宋-GB2312" w:cs="CESI仿宋-GB2312" w:hint="eastAsia" w:eastAsia="CESI仿宋-GB2312"/>
          <w:b/>
          <w:bCs/>
          <w:color w:val="000000"/>
          <w:kern w:val="0"/>
        </w:rPr>
        <w:t xml:space="preserve"> </w:t>
      </w:r>
      <w:r>
        <w:rPr>
          <w:rFonts w:ascii="CESI仿宋-GB2312" w:hAnsi="CESI仿宋-GB2312" w:cs="CESI仿宋-GB2312" w:hint="eastAsia" w:eastAsia="CESI仿宋-GB2312"/>
          <w:color w:val="000000"/>
          <w:kern w:val="0"/>
        </w:rPr>
        <w:t>会展业主管部门发现举办单位、场馆单位、参展单位和会展服务单位存在违反本条例规定行为的，可以会同市场监管等部门约谈有关单位主要负责人，要求其采取有效措施予以整改。</w:t>
      </w:r>
    </w:p>
    <w:p>
      <w:pPr>
        <w:pStyle w:val="Normal"/>
        <w:keepNext w:val="false"/>
        <w:keepLines w:val="false"/>
        <w:pageBreakBefore w:val="false"/>
        <w:widowControl w:val="false"/>
        <w:kinsoku w:val="true"/>
        <w:overflowPunct w:val="true"/>
        <w:autoSpaceDE w:val="true"/>
        <w:bidi w:val="0"/>
        <w:snapToGrid w:val="true"/>
        <w:spacing w:lineRule="exact" w:line="600" w:before="321" w:after="321"/>
        <w:jc w:val="center"/>
        <w:textAlignment w:val="auto"/>
        <w:rPr>
          <w:rFonts w:ascii="CESI黑体-GB2312" w:hAnsi="CESI黑体-GB2312" w:eastAsia="CESI黑体-GB2312" w:cs="CESI黑体-GB2312" w:hint="eastAsia"/>
          <w:color w:val="000000"/>
          <w:kern w:val="0"/>
        </w:rPr>
      </w:pPr>
      <w:r>
        <w:rPr>
          <w:rFonts w:ascii="CESI黑体-GB2312" w:hAnsi="CESI黑体-GB2312" w:cs="CESI黑体-GB2312" w:hint="eastAsia" w:eastAsia="CESI黑体-GB2312"/>
          <w:color w:val="000000"/>
          <w:kern w:val="0"/>
        </w:rPr>
        <w:t>第五章  附  则</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CESI仿宋-GB2312" w:hAnsi="CESI仿宋-GB2312" w:eastAsia="CESI仿宋-GB2312" w:cs="CESI仿宋-GB2312" w:hint="eastAsia"/>
          <w:color w:val="000000"/>
          <w:kern w:val="0"/>
        </w:rPr>
      </w:pPr>
      <w:r>
        <w:rPr>
          <w:rFonts w:ascii="黑体" w:hAnsi="黑体" w:cs="黑体" w:hint="eastAsia" w:eastAsia="黑体"/>
          <w:b w:val="false"/>
          <w:bCs w:val="false"/>
          <w:color w:val="000000"/>
        </w:rPr>
        <w:t>第三十九条</w:t>
      </w:r>
      <w:r>
        <w:rPr>
          <w:rFonts w:ascii="CESI仿宋-GB2312" w:hAnsi="CESI仿宋-GB2312" w:cs="CESI仿宋-GB2312" w:hint="eastAsia" w:eastAsia="CESI仿宋-GB2312"/>
          <w:b/>
          <w:bCs/>
          <w:color w:val="000000"/>
          <w:kern w:val="0"/>
        </w:rPr>
        <w:t xml:space="preserve"> </w:t>
      </w:r>
      <w:r>
        <w:rPr>
          <w:rFonts w:ascii="CESI仿宋-GB2312" w:hAnsi="CESI仿宋-GB2312" w:cs="CESI仿宋-GB2312" w:hint="eastAsia" w:eastAsia="CESI仿宋-GB2312"/>
          <w:color w:val="000000"/>
          <w:kern w:val="0"/>
        </w:rPr>
        <w:t>本条例下列用语的含义：</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CESI仿宋-GB2312" w:hAnsi="CESI仿宋-GB2312" w:eastAsia="CESI仿宋-GB2312" w:cs="CESI仿宋-GB2312" w:hint="eastAsia"/>
          <w:color w:val="000000"/>
          <w:kern w:val="0"/>
        </w:rPr>
      </w:pPr>
      <w:r>
        <w:rPr>
          <w:rFonts w:ascii="CESI仿宋-GB2312" w:hAnsi="CESI仿宋-GB2312" w:cs="CESI仿宋-GB2312" w:hint="eastAsia" w:eastAsia="CESI仿宋-GB2312"/>
          <w:color w:val="000000"/>
          <w:kern w:val="0"/>
        </w:rPr>
        <w:t>（一）举办单位，是指负责制定会展活动的实施方案和计划，对会展活动进行统筹、组织和安排的单位，包括主办单位和承办单位；</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CESI仿宋-GB2312" w:hAnsi="CESI仿宋-GB2312" w:eastAsia="CESI仿宋-GB2312" w:cs="CESI仿宋-GB2312" w:hint="eastAsia"/>
          <w:color w:val="000000"/>
          <w:kern w:val="0"/>
        </w:rPr>
      </w:pPr>
      <w:r>
        <w:rPr>
          <w:rFonts w:ascii="CESI仿宋-GB2312" w:hAnsi="CESI仿宋-GB2312" w:cs="CESI仿宋-GB2312" w:hint="eastAsia" w:eastAsia="CESI仿宋-GB2312"/>
          <w:color w:val="000000"/>
          <w:kern w:val="0"/>
        </w:rPr>
        <w:t>（二）场馆单位，是指为会展活动提供场地和相关服务的单位；</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CESI仿宋-GB2312" w:hAnsi="CESI仿宋-GB2312" w:eastAsia="CESI仿宋-GB2312" w:cs="CESI仿宋-GB2312" w:hint="eastAsia"/>
          <w:color w:val="000000"/>
          <w:kern w:val="0"/>
        </w:rPr>
      </w:pPr>
      <w:r>
        <w:rPr>
          <w:rFonts w:ascii="CESI仿宋-GB2312" w:hAnsi="CESI仿宋-GB2312" w:cs="CESI仿宋-GB2312" w:hint="eastAsia" w:eastAsia="CESI仿宋-GB2312"/>
          <w:color w:val="000000"/>
          <w:kern w:val="0"/>
        </w:rPr>
        <w:t>（三）参展单位，是指将物品、技术、服务等在会展活动中展示交流的单位；</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CESI仿宋-GB2312" w:hAnsi="CESI仿宋-GB2312" w:eastAsia="CESI仿宋-GB2312" w:cs="CESI仿宋-GB2312" w:hint="eastAsia"/>
          <w:color w:val="000000"/>
          <w:kern w:val="0"/>
        </w:rPr>
      </w:pPr>
      <w:r>
        <w:rPr>
          <w:rFonts w:ascii="CESI仿宋-GB2312" w:hAnsi="CESI仿宋-GB2312" w:cs="CESI仿宋-GB2312" w:hint="eastAsia" w:eastAsia="CESI仿宋-GB2312"/>
          <w:color w:val="000000"/>
          <w:kern w:val="0"/>
        </w:rPr>
        <w:t>（四）会展服务单位，是指在会展活动中为举办单位、场馆单位、参展单位、观众等各方提供搭建、物流、餐饮等专业服务的单位。</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CESI仿宋-GB2312" w:hAnsi="CESI仿宋-GB2312" w:eastAsia="CESI仿宋-GB2312" w:cs="CESI仿宋-GB2312" w:hint="eastAsia"/>
          <w:b/>
          <w:bCs/>
          <w:color w:val="000000"/>
          <w:kern w:val="0"/>
        </w:rPr>
      </w:pPr>
      <w:r>
        <w:rPr>
          <w:rFonts w:ascii="黑体" w:hAnsi="黑体" w:cs="黑体" w:hint="eastAsia" w:eastAsia="黑体"/>
          <w:b w:val="false"/>
          <w:bCs w:val="false"/>
          <w:color w:val="000000"/>
        </w:rPr>
        <w:t>第四十条</w:t>
      </w:r>
      <w:r>
        <w:rPr>
          <w:rFonts w:ascii="CESI仿宋-GB2312" w:hAnsi="CESI仿宋-GB2312" w:cs="CESI仿宋-GB2312" w:hint="eastAsia" w:eastAsia="CESI仿宋-GB2312"/>
          <w:b/>
          <w:bCs/>
          <w:color w:val="000000"/>
          <w:kern w:val="0"/>
        </w:rPr>
        <w:t xml:space="preserve"> </w:t>
      </w:r>
      <w:r>
        <w:rPr>
          <w:rFonts w:ascii="CESI仿宋-GB2312" w:hAnsi="CESI仿宋-GB2312" w:cs="CESI仿宋-GB2312" w:hint="eastAsia" w:eastAsia="CESI仿宋-GB2312"/>
          <w:color w:val="000000"/>
          <w:kern w:val="0"/>
        </w:rPr>
        <w:t>会展活动属于大型群众性活动的，法律、法规对其规范和管理另有规定的，从其规定。</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CESI仿宋-GB2312" w:hAnsi="CESI仿宋-GB2312" w:eastAsia="CESI仿宋-GB2312" w:cs="CESI仿宋-GB2312" w:hint="eastAsia"/>
          <w:color w:val="000000"/>
          <w:kern w:val="0"/>
        </w:rPr>
      </w:pPr>
      <w:r>
        <w:rPr>
          <w:rFonts w:ascii="黑体" w:hAnsi="黑体" w:cs="黑体" w:hint="eastAsia" w:eastAsia="黑体"/>
          <w:b w:val="false"/>
          <w:bCs w:val="false"/>
          <w:color w:val="000000"/>
        </w:rPr>
        <w:t>第四十一条</w:t>
      </w:r>
      <w:r>
        <w:rPr>
          <w:rFonts w:ascii="CESI仿宋-GB2312" w:hAnsi="CESI仿宋-GB2312" w:cs="CESI仿宋-GB2312" w:hint="eastAsia" w:eastAsia="CESI仿宋-GB2312"/>
          <w:b/>
          <w:bCs/>
          <w:color w:val="000000"/>
          <w:kern w:val="0"/>
        </w:rPr>
        <w:t xml:space="preserve"> </w:t>
      </w:r>
      <w:r>
        <w:rPr>
          <w:rFonts w:ascii="CESI仿宋-GB2312" w:hAnsi="CESI仿宋-GB2312" w:cs="CESI仿宋-GB2312" w:hint="eastAsia" w:eastAsia="CESI仿宋-GB2312"/>
          <w:color w:val="000000"/>
          <w:kern w:val="0"/>
        </w:rPr>
        <w:t>本条例自</w:t>
      </w:r>
      <w:r>
        <w:rPr>
          <w:rFonts w:eastAsia="CESI仿宋-GB2312" w:cs="CESI仿宋-GB2312" w:hint="eastAsia" w:ascii="CESI仿宋-GB2312" w:hAnsi="CESI仿宋-GB2312"/>
          <w:color w:val="000000"/>
          <w:kern w:val="0"/>
          <w:u w:val="none"/>
        </w:rPr>
        <w:t>2021</w:t>
      </w:r>
      <w:r>
        <w:rPr>
          <w:rFonts w:ascii="CESI仿宋-GB2312" w:hAnsi="CESI仿宋-GB2312" w:cs="CESI仿宋-GB2312" w:hint="eastAsia" w:eastAsia="CESI仿宋-GB2312"/>
          <w:color w:val="000000"/>
          <w:kern w:val="0"/>
          <w:u w:val="none"/>
        </w:rPr>
        <w:t xml:space="preserve">年 </w:t>
      </w:r>
      <w:r>
        <w:rPr>
          <w:rFonts w:eastAsia="CESI仿宋-GB2312" w:cs="CESI仿宋-GB2312" w:hint="eastAsia" w:ascii="CESI仿宋-GB2312" w:hAnsi="CESI仿宋-GB2312"/>
          <w:color w:val="000000"/>
          <w:kern w:val="0"/>
          <w:u w:val="none"/>
        </w:rPr>
        <w:t>3</w:t>
      </w:r>
      <w:r>
        <w:rPr>
          <w:rFonts w:ascii="CESI仿宋-GB2312" w:hAnsi="CESI仿宋-GB2312" w:cs="CESI仿宋-GB2312" w:hint="eastAsia" w:eastAsia="CESI仿宋-GB2312"/>
          <w:color w:val="000000"/>
          <w:kern w:val="0"/>
          <w:u w:val="none"/>
        </w:rPr>
        <w:t xml:space="preserve">月 </w:t>
      </w:r>
      <w:r>
        <w:rPr>
          <w:rFonts w:eastAsia="CESI仿宋-GB2312" w:cs="CESI仿宋-GB2312" w:hint="eastAsia" w:ascii="CESI仿宋-GB2312" w:hAnsi="CESI仿宋-GB2312"/>
          <w:color w:val="000000"/>
          <w:kern w:val="0"/>
          <w:u w:val="none"/>
        </w:rPr>
        <w:t>1</w:t>
      </w:r>
      <w:r>
        <w:rPr>
          <w:rFonts w:ascii="CESI仿宋-GB2312" w:hAnsi="CESI仿宋-GB2312" w:cs="CESI仿宋-GB2312" w:hint="eastAsia" w:eastAsia="CESI仿宋-GB2312"/>
          <w:color w:val="000000"/>
          <w:kern w:val="0"/>
          <w:u w:val="none"/>
        </w:rPr>
        <w:t>日</w:t>
      </w:r>
      <w:r>
        <w:rPr>
          <w:rFonts w:ascii="CESI仿宋-GB2312" w:hAnsi="CESI仿宋-GB2312" w:cs="CESI仿宋-GB2312" w:hint="eastAsia" w:eastAsia="CESI仿宋-GB2312"/>
          <w:color w:val="000000"/>
          <w:kern w:val="0"/>
        </w:rPr>
        <w:t>起施行。</w:t>
      </w:r>
    </w:p>
    <w:p>
      <w:pPr>
        <w:pStyle w:val="2"/>
        <w:keepNext w:val="false"/>
        <w:keepLines w:val="false"/>
        <w:pageBreakBefore w:val="false"/>
        <w:widowControl w:val="false"/>
        <w:kinsoku w:val="true"/>
        <w:overflowPunct w:val="true"/>
        <w:autoSpaceDE w:val="true"/>
        <w:bidi w:val="0"/>
        <w:snapToGrid w:val="true"/>
        <w:spacing w:lineRule="exact" w:line="600"/>
        <w:ind w:firstLineChars="0" w:firstLine="0" w:endChars="-47"/>
        <w:jc w:val="both"/>
        <w:textAlignment w:val="auto"/>
        <w:rPr>
          <w:rFonts w:ascii="CESI仿宋-GB2312" w:hAnsi="CESI仿宋-GB2312" w:eastAsia="CESI仿宋-GB2312" w:cs="CESI仿宋-GB2312" w:hint="eastAsia"/>
          <w:color w:val="000000"/>
          <w:kern w:val="0"/>
          <w:sz w:val="32"/>
          <w:szCs w:val="32"/>
          <w:u w:val="none"/>
        </w:rPr>
      </w:pPr>
      <w:r>
        <w:rPr>
          <w:rFonts w:eastAsia="CESI仿宋-GB2312" w:cs="CESI仿宋-GB2312" w:hint="eastAsia" w:ascii="CESI仿宋-GB2312" w:hAnsi="CESI仿宋-GB2312"/>
          <w:color w:val="000000"/>
          <w:kern w:val="0"/>
          <w:sz w:val="32"/>
          <w:szCs w:val="32"/>
          <w:u w:val="none"/>
        </w:rPr>
      </w:r>
    </w:p>
    <w:p>
      <w:pPr>
        <w:pStyle w:val="Normal"/>
        <w:keepNext w:val="false"/>
        <w:keepLines w:val="false"/>
        <w:pageBreakBefore w:val="false"/>
        <w:widowControl w:val="false"/>
        <w:numPr>
          <w:ilvl w:val="0"/>
          <w:numId w:val="0"/>
        </w:numPr>
        <w:kinsoku w:val="true"/>
        <w:overflowPunct w:val="true"/>
        <w:autoSpaceDE w:val="true"/>
        <w:bidi w:val="0"/>
        <w:spacing w:lineRule="exact" w:line="600"/>
        <w:jc w:val="both"/>
        <w:textAlignment w:val="auto"/>
        <w:rPr>
          <w:rFonts w:ascii="Times New Roman;DejaVu Sans" w:hAnsi="Times New Roman;DejaVu Sans" w:eastAsia="黑体" w:cs="Times New Roman;DejaVu Sans" w:hint="eastAsia"/>
          <w:bCs/>
          <w:color w:val="000000"/>
          <w:sz w:val="32"/>
          <w:szCs w:val="32"/>
          <w:u w:val="none"/>
        </w:rPr>
      </w:pPr>
      <w:r>
        <w:rPr>
          <w:rFonts w:eastAsia="黑体" w:cs="Times New Roman;DejaVu Sans" w:hint="eastAsia" w:ascii="Times New Roman;DejaVu Sans" w:hAnsi="Times New Roman;DejaVu Sans"/>
          <w:bCs/>
          <w:color w:val="000000"/>
          <w:sz w:val="32"/>
          <w:szCs w:val="32"/>
          <w:u w:val="none"/>
        </w:rPr>
        <mc:AlternateContent>
          <mc:Choice Requires="wps">
            <w:drawing>
              <wp:anchor distT="0" distB="0" distL="114935" distR="114935" simplePos="0" relativeHeight="24" behindDoc="0" locked="0" layoutInCell="1" allowOverlap="1">
                <wp:simplePos x="0" y="0"/>
                <wp:positionH relativeFrom="column">
                  <wp:posOffset>-697230</wp:posOffset>
                </wp:positionH>
                <wp:positionV relativeFrom="paragraph">
                  <wp:posOffset>6352540</wp:posOffset>
                </wp:positionV>
                <wp:extent cx="1010285" cy="386715"/>
                <wp:effectExtent l="0" t="0" r="0" b="0"/>
                <wp:wrapNone/>
                <wp:docPr id="1" name=""/>
                <a:graphic xmlns:a="http://schemas.openxmlformats.org/drawingml/2006/main">
                  <a:graphicData uri="http://schemas.microsoft.com/office/word/2010/wordprocessingShape">
                    <wps:wsp>
                      <wps:cNvSpPr txBox="1"/>
                      <wps:spPr>
                        <a:xfrm rot="16200000">
                          <a:off x="0" y="0"/>
                          <a:ext cx="1010160" cy="386640"/>
                        </a:xfrm>
                        <a:prstGeom prst="rect">
                          <a:avLst/>
                        </a:prstGeom>
                        <a:noFill/>
                        <a:ln w="0">
                          <a:noFill/>
                        </a:ln>
                      </wps:spPr>
                      <wps:txbx>
                        <w:txbxContent>
                          <w:p>
                            <w:pPr>
                              <w:overflowPunct w:val="false"/>
                              <w:bidi w:val="0"/>
                              <w:spacing w:lineRule="exact" w:line="570"/>
                              <w:jc w:val="both"/>
                              <w:rPr/>
                            </w:pPr>
                            <w:r>
                              <w:rPr>
                                <w:rFonts w:ascii="Times New Roman;DejaVu Sans" w:hAnsi="Times New Roman;DejaVu Sans" w:eastAsia="黑体" w:cs="Times New Roman;DejaVu Sans" w:hint="eastAsia"/>
                                <w:bCs/>
                                <w:color w:val="000000"/>
                                <w:kern w:val="2"/>
                                <w:sz w:val="32"/>
                                <w:szCs w:val="32"/>
                                <w:lang w:bidi="ar-SA"/>
                              </w:rPr>
                              <w:t>附件</w:t>
                            </w:r>
                          </w:p>
                        </w:txbxContent>
                      </wps:txbx>
                      <wps:bodyPr wrap="square" lIns="0" tIns="0" rIns="0" bIns="0" anchor="t">
                        <a:noAutofit/>
                      </wps:bodyPr>
                    </wps:wsp>
                  </a:graphicData>
                </a:graphic>
              </wp:anchor>
            </w:drawing>
          </mc:Choice>
          <mc:Fallback>
            <w:pict>
              <v:shapetype id="_x0000_t202" coordsize="21600,21600" o:spt="202" path="m,l,21600l21600,21600l21600,xe">
                <v:stroke joinstyle="miter"/>
                <v:path gradientshapeok="t" o:connecttype="rect"/>
              </v:shapetype>
              <v:shape id="shape_0" stroked="f" o:allowincell="f" style="position:absolute;margin-left:-54.9pt;margin-top:500.2pt;width:79.5pt;height:30.4pt;mso-wrap-style:square;v-text-anchor:top;rotation:270" type="_x0000_t202">
                <v:textbox style="mso-layout-flow-alt:bottom-to-top">
                  <w:txbxContent>
                    <w:p>
                      <w:pPr>
                        <w:overflowPunct w:val="false"/>
                        <w:bidi w:val="0"/>
                        <w:spacing w:lineRule="exact" w:line="570"/>
                        <w:jc w:val="both"/>
                        <w:rPr/>
                      </w:pPr>
                      <w:r>
                        <w:rPr>
                          <w:rFonts w:ascii="Times New Roman;DejaVu Sans" w:hAnsi="Times New Roman;DejaVu Sans" w:eastAsia="黑体" w:cs="Times New Roman;DejaVu Sans" w:hint="eastAsia"/>
                          <w:bCs/>
                          <w:color w:val="000000"/>
                          <w:kern w:val="2"/>
                          <w:sz w:val="32"/>
                          <w:szCs w:val="32"/>
                          <w:lang w:bidi="ar-SA"/>
                        </w:rPr>
                        <w:t>附件</w:t>
                      </w:r>
                    </w:p>
                  </w:txbxContent>
                </v:textbox>
                <v:fill o:detectmouseclick="t" on="false"/>
                <v:stroke color="#3465a4" joinstyle="round" endcap="flat"/>
                <w10:wrap type="none"/>
              </v:shape>
            </w:pict>
          </mc:Fallback>
        </mc:AlternateContent>
      </w:r>
    </w:p>
    <w:p>
      <w:pPr>
        <w:pStyle w:val="Normal"/>
        <w:keepNext w:val="false"/>
        <w:keepLines w:val="false"/>
        <w:pageBreakBefore w:val="false"/>
        <w:widowControl w:val="false"/>
        <w:kinsoku w:val="true"/>
        <w:overflowPunct w:val="true"/>
        <w:autoSpaceDE w:val="true"/>
        <w:bidi w:val="0"/>
        <w:spacing w:lineRule="exact" w:line="600"/>
        <w:jc w:val="both"/>
        <w:textAlignment w:val="auto"/>
        <w:rPr>
          <w:rFonts w:ascii="Times New Roman;DejaVu Sans" w:hAnsi="Times New Roman;DejaVu Sans" w:eastAsia="黑体" w:cs="Times New Roman;DejaVu Sans" w:hint="eastAsia"/>
          <w:bCs/>
          <w:color w:val="000000"/>
        </w:rPr>
      </w:pPr>
      <w:r>
        <w:rPr>
          <w:rFonts w:ascii="Times New Roman;DejaVu Sans" w:hAnsi="Times New Roman;DejaVu Sans" w:cs="Times New Roman;DejaVu Sans" w:hint="eastAsia" w:eastAsia="黑体"/>
          <w:bCs/>
          <w:color w:val="000000"/>
        </w:rPr>
        <w:t>附件</w:t>
      </w:r>
      <w:r>
        <w:rPr>
          <w:rFonts w:eastAsia="黑体" w:cs="Times New Roman;DejaVu Sans" w:hint="eastAsia" w:ascii="Times New Roman;DejaVu Sans" w:hAnsi="Times New Roman;DejaVu Sans"/>
          <w:bCs/>
          <w:color w:val="000000"/>
        </w:rPr>
        <w:t>3</w:t>
      </w:r>
    </w:p>
    <w:p>
      <w:pPr>
        <w:pStyle w:val="Normal"/>
        <w:keepNext w:val="false"/>
        <w:keepLines w:val="false"/>
        <w:pageBreakBefore w:val="false"/>
        <w:widowControl w:val="false"/>
        <w:kinsoku w:val="true"/>
        <w:overflowPunct w:val="true"/>
        <w:autoSpaceDE w:val="true"/>
        <w:bidi w:val="0"/>
        <w:snapToGrid w:val="false"/>
        <w:spacing w:lineRule="exact" w:line="600"/>
        <w:jc w:val="both"/>
        <w:textAlignment w:val="auto"/>
        <w:rPr>
          <w:rFonts w:ascii="Times New Roman;DejaVu Sans" w:hAnsi="Times New Roman;DejaVu Sans" w:eastAsia="黑体" w:cs="Times New Roman;DejaVu Sans" w:hint="eastAsia"/>
          <w:b/>
          <w:bCs/>
          <w:color w:val="000000"/>
          <w:sz w:val="30"/>
          <w:szCs w:val="30"/>
        </w:rPr>
      </w:pPr>
      <w:r>
        <w:rPr>
          <w:rFonts w:eastAsia="黑体" w:cs="Times New Roman;DejaVu Sans" w:hint="eastAsia" w:ascii="Times New Roman;DejaVu Sans" w:hAnsi="Times New Roman;DejaVu Sans"/>
          <w:b/>
          <w:bCs/>
          <w:color w:val="000000"/>
          <w:sz w:val="30"/>
          <w:szCs w:val="30"/>
        </w:rPr>
      </w:r>
    </w:p>
    <w:p>
      <w:pPr>
        <w:pStyle w:val="Normal"/>
        <w:keepNext w:val="false"/>
        <w:keepLines w:val="false"/>
        <w:pageBreakBefore w:val="false"/>
        <w:widowControl w:val="false"/>
        <w:kinsoku w:val="true"/>
        <w:overflowPunct w:val="true"/>
        <w:autoSpaceDE w:val="true"/>
        <w:bidi w:val="0"/>
        <w:spacing w:lineRule="exact" w:line="600"/>
        <w:jc w:val="end"/>
        <w:textAlignment w:val="auto"/>
        <w:rPr>
          <w:rFonts w:ascii="仿宋_GB2312" w:hAnsi="仿宋_GB2312" w:eastAsia="仿宋_GB2312" w:cs="仿宋_GB2312" w:hint="eastAsia"/>
          <w:b/>
          <w:sz w:val="32"/>
          <w:szCs w:val="32"/>
        </w:rPr>
      </w:pPr>
      <w:r>
        <w:rPr>
          <w:rFonts w:eastAsia="仿宋_GB2312" w:cs="仿宋_GB2312" w:hint="eastAsia" w:ascii="仿宋_GB2312" w:hAnsi="仿宋_GB2312"/>
          <w:color w:val="000000"/>
          <w:sz w:val="32"/>
          <w:szCs w:val="32"/>
        </w:rPr>
        <w:t xml:space="preserve"> </w:t>
      </w:r>
      <w:r>
        <w:rPr>
          <w:rFonts w:ascii="仿宋_GB2312" w:hAnsi="仿宋_GB2312" w:cs="仿宋_GB2312" w:hint="eastAsia" w:eastAsia="仿宋_GB2312"/>
          <w:color w:val="000000"/>
          <w:sz w:val="32"/>
          <w:szCs w:val="32"/>
        </w:rPr>
        <w:t>厦府〔</w:t>
      </w:r>
      <w:r>
        <w:rPr>
          <w:rFonts w:eastAsia="仿宋_GB2312" w:cs="仿宋_GB2312" w:hint="eastAsia" w:ascii="仿宋_GB2312" w:hAnsi="仿宋_GB2312"/>
          <w:color w:val="000000"/>
          <w:sz w:val="32"/>
          <w:szCs w:val="32"/>
        </w:rPr>
        <w:t>2020</w:t>
      </w:r>
      <w:r>
        <w:rPr>
          <w:rFonts w:ascii="仿宋_GB2312" w:hAnsi="仿宋_GB2312" w:cs="仿宋_GB2312" w:hint="eastAsia" w:eastAsia="仿宋_GB2312"/>
          <w:color w:val="000000"/>
          <w:sz w:val="32"/>
          <w:szCs w:val="32"/>
        </w:rPr>
        <w:t>〕</w:t>
      </w:r>
      <w:r>
        <w:rPr>
          <w:rFonts w:eastAsia="仿宋_GB2312" w:cs="仿宋_GB2312" w:hint="eastAsia" w:ascii="仿宋_GB2312" w:hAnsi="仿宋_GB2312"/>
          <w:color w:val="000000"/>
          <w:sz w:val="32"/>
          <w:szCs w:val="32"/>
        </w:rPr>
        <w:t>155</w:t>
      </w:r>
      <w:r>
        <w:rPr>
          <w:rFonts w:ascii="仿宋_GB2312" w:hAnsi="仿宋_GB2312" w:cs="仿宋_GB2312" w:hint="eastAsia" w:eastAsia="仿宋_GB2312"/>
          <w:color w:val="000000"/>
          <w:sz w:val="32"/>
          <w:szCs w:val="32"/>
        </w:rPr>
        <w:t>号</w:t>
      </w:r>
    </w:p>
    <w:p>
      <w:pPr>
        <w:pStyle w:val="Normal"/>
        <w:keepNext w:val="false"/>
        <w:keepLines w:val="false"/>
        <w:pageBreakBefore w:val="false"/>
        <w:widowControl w:val="false"/>
        <w:kinsoku w:val="true"/>
        <w:overflowPunct w:val="true"/>
        <w:autoSpaceDE w:val="true"/>
        <w:bidi w:val="0"/>
        <w:spacing w:lineRule="exact" w:line="600"/>
        <w:jc w:val="center"/>
        <w:textAlignment w:val="auto"/>
        <w:rPr>
          <w:rFonts w:ascii="方正小标宋_GBK" w:hAnsi="方正小标宋_GBK" w:eastAsia="方正小标宋_GBK" w:cs="宋体" w:hint="eastAsia"/>
          <w:b/>
          <w:sz w:val="32"/>
          <w:szCs w:val="32"/>
        </w:rPr>
      </w:pPr>
      <w:r>
        <w:rPr>
          <w:rFonts w:eastAsia="方正小标宋_GBK" w:cs="宋体" w:hint="eastAsia" w:ascii="方正小标宋_GBK" w:hAnsi="方正小标宋_GBK"/>
          <w:b/>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600"/>
        <w:jc w:val="center"/>
        <w:textAlignment w:val="auto"/>
        <w:rPr>
          <w:rFonts w:ascii="宋体" w:hAnsi="宋体" w:eastAsia="宋体" w:cs="宋体" w:hint="eastAsia"/>
          <w:bCs/>
          <w:sz w:val="44"/>
          <w:szCs w:val="44"/>
        </w:rPr>
      </w:pPr>
      <w:r>
        <w:rPr>
          <w:rFonts w:ascii="宋体" w:hAnsi="宋体" w:cs="宋体" w:hint="eastAsia" w:eastAsia="宋体"/>
          <w:bCs/>
          <w:sz w:val="44"/>
          <w:szCs w:val="44"/>
        </w:rPr>
        <w:t>厦门市人民政府关于提请</w:t>
      </w:r>
    </w:p>
    <w:p>
      <w:pPr>
        <w:pStyle w:val="Normal"/>
        <w:keepNext w:val="false"/>
        <w:keepLines w:val="false"/>
        <w:pageBreakBefore w:val="false"/>
        <w:widowControl w:val="false"/>
        <w:kinsoku w:val="true"/>
        <w:overflowPunct w:val="true"/>
        <w:autoSpaceDE w:val="true"/>
        <w:bidi w:val="0"/>
        <w:snapToGrid w:val="false"/>
        <w:spacing w:lineRule="exact" w:line="600"/>
        <w:jc w:val="center"/>
        <w:textAlignment w:val="auto"/>
        <w:rPr>
          <w:rFonts w:ascii="宋体" w:hAnsi="宋体" w:eastAsia="宋体" w:cs="宋体" w:hint="eastAsia"/>
          <w:bCs/>
          <w:sz w:val="44"/>
          <w:szCs w:val="44"/>
        </w:rPr>
      </w:pPr>
      <w:r>
        <w:rPr>
          <w:rFonts w:ascii="宋体" w:hAnsi="宋体" w:cs="宋体" w:hint="eastAsia" w:eastAsia="宋体"/>
          <w:bCs/>
          <w:sz w:val="44"/>
          <w:szCs w:val="44"/>
        </w:rPr>
        <w:t>审议《厦门经济特区会展业促进</w:t>
      </w:r>
    </w:p>
    <w:p>
      <w:pPr>
        <w:pStyle w:val="Normal"/>
        <w:keepNext w:val="false"/>
        <w:keepLines w:val="false"/>
        <w:pageBreakBefore w:val="false"/>
        <w:widowControl w:val="false"/>
        <w:kinsoku w:val="true"/>
        <w:overflowPunct w:val="true"/>
        <w:autoSpaceDE w:val="true"/>
        <w:bidi w:val="0"/>
        <w:snapToGrid w:val="false"/>
        <w:spacing w:lineRule="exact" w:line="600"/>
        <w:jc w:val="center"/>
        <w:textAlignment w:val="auto"/>
        <w:rPr>
          <w:rFonts w:ascii="宋体" w:hAnsi="宋体" w:eastAsia="宋体" w:cs="宋体" w:hint="eastAsia"/>
          <w:bCs/>
          <w:sz w:val="44"/>
          <w:szCs w:val="44"/>
        </w:rPr>
      </w:pPr>
      <w:r>
        <w:rPr>
          <w:rFonts w:ascii="宋体" w:hAnsi="宋体" w:cs="宋体" w:hint="eastAsia" w:eastAsia="宋体"/>
          <w:bCs/>
          <w:sz w:val="44"/>
          <w:szCs w:val="44"/>
        </w:rPr>
        <w:t>条例（草案）》的议案</w:t>
      </w:r>
    </w:p>
    <w:p>
      <w:pPr>
        <w:pStyle w:val="Normal"/>
        <w:keepNext w:val="false"/>
        <w:keepLines w:val="false"/>
        <w:pageBreakBefore w:val="false"/>
        <w:widowControl w:val="false"/>
        <w:kinsoku w:val="true"/>
        <w:overflowPunct w:val="true"/>
        <w:autoSpaceDE w:val="true"/>
        <w:bidi w:val="0"/>
        <w:spacing w:lineRule="exact" w:line="600"/>
        <w:jc w:val="center"/>
        <w:textAlignment w:val="auto"/>
        <w:rPr>
          <w:rFonts w:ascii="楷体_GB2312" w:hAnsi="楷体_GB2312" w:eastAsia="楷体_GB2312" w:cs="宋体" w:hint="eastAsia"/>
          <w:bCs/>
          <w:sz w:val="32"/>
          <w:szCs w:val="32"/>
        </w:rPr>
      </w:pPr>
      <w:r>
        <w:rPr>
          <w:rFonts w:eastAsia="楷体_GB2312" w:cs="宋体" w:hint="eastAsia" w:ascii="楷体_GB2312" w:hAnsi="楷体_GB2312"/>
          <w:bCs/>
          <w:sz w:val="32"/>
          <w:szCs w:val="32"/>
        </w:rPr>
      </w:r>
    </w:p>
    <w:p>
      <w:pPr>
        <w:pStyle w:val="Normal"/>
        <w:keepNext w:val="false"/>
        <w:keepLines w:val="false"/>
        <w:pageBreakBefore w:val="false"/>
        <w:widowControl w:val="false"/>
        <w:kinsoku w:val="true"/>
        <w:overflowPunct w:val="true"/>
        <w:autoSpaceDE w:val="true"/>
        <w:bidi w:val="0"/>
        <w:spacing w:lineRule="exact" w:line="600"/>
        <w:textAlignment w:val="auto"/>
        <w:rPr>
          <w:rFonts w:ascii="黑体" w:hAnsi="黑体" w:eastAsia="黑体" w:cs="黑体" w:hint="eastAsia"/>
          <w:color w:val="000000"/>
          <w:sz w:val="32"/>
          <w:szCs w:val="32"/>
        </w:rPr>
      </w:pPr>
      <w:r>
        <w:rPr>
          <w:rFonts w:ascii="黑体" w:hAnsi="黑体" w:cs="黑体" w:hint="eastAsia" w:eastAsia="黑体"/>
          <w:color w:val="000000"/>
          <w:sz w:val="32"/>
          <w:szCs w:val="32"/>
        </w:rPr>
        <w:t>厦门市人民代表大会常务委员会：</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color w:val="000000"/>
          <w:sz w:val="32"/>
          <w:szCs w:val="32"/>
        </w:rPr>
        <w:t>《厦门经济特区会展业促进条例（草案）》已经厦门市人民政府第</w:t>
      </w:r>
      <w:r>
        <w:rPr>
          <w:rFonts w:eastAsia="仿宋_GB2312" w:cs="仿宋_GB2312" w:hint="eastAsia" w:ascii="仿宋_GB2312" w:hAnsi="仿宋_GB2312"/>
          <w:color w:val="000000"/>
          <w:sz w:val="32"/>
          <w:szCs w:val="32"/>
        </w:rPr>
        <w:t>104</w:t>
      </w:r>
      <w:r>
        <w:rPr>
          <w:rFonts w:ascii="仿宋_GB2312" w:hAnsi="仿宋_GB2312" w:cs="仿宋_GB2312" w:hint="eastAsia" w:eastAsia="仿宋_GB2312"/>
          <w:color w:val="000000"/>
          <w:sz w:val="32"/>
          <w:szCs w:val="32"/>
        </w:rPr>
        <w:t>次常务会议研究通过，现提请审议。</w:t>
      </w:r>
    </w:p>
    <w:p>
      <w:pPr>
        <w:pStyle w:val="Normal"/>
        <w:keepNext w:val="false"/>
        <w:keepLines w:val="false"/>
        <w:pageBreakBefore w:val="false"/>
        <w:widowControl w:val="false"/>
        <w:kinsoku w:val="true"/>
        <w:overflowPunct w:val="true"/>
        <w:autoSpaceDE w:val="true"/>
        <w:bidi w:val="0"/>
        <w:spacing w:lineRule="exact" w:line="60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keepNext w:val="false"/>
        <w:keepLines w:val="false"/>
        <w:pageBreakBefore w:val="false"/>
        <w:widowControl w:val="false"/>
        <w:kinsoku w:val="true"/>
        <w:overflowPunct w:val="true"/>
        <w:autoSpaceDE w:val="true"/>
        <w:bidi w:val="0"/>
        <w:spacing w:lineRule="exact" w:line="60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keepNext w:val="false"/>
        <w:keepLines w:val="false"/>
        <w:pageBreakBefore w:val="false"/>
        <w:widowControl w:val="false"/>
        <w:kinsoku w:val="true"/>
        <w:overflowPunct w:val="true"/>
        <w:autoSpaceDE w:val="true"/>
        <w:bidi w:val="0"/>
        <w:spacing w:lineRule="exact" w:line="600"/>
        <w:ind w:firstLineChars="0" w:firstLine="0" w:startChars="1200" w:endChars="0" w:end="0"/>
        <w:jc w:val="end"/>
        <w:textAlignment w:val="auto"/>
        <w:rPr>
          <w:rFonts w:ascii="仿宋_GB2312" w:hAnsi="仿宋_GB2312" w:eastAsia="仿宋_GB2312" w:cs="仿宋_GB2312"/>
          <w:sz w:val="32"/>
          <w:szCs w:val="32"/>
        </w:rPr>
      </w:pPr>
      <w:r>
        <w:rPr>
          <w:rFonts w:ascii="仿宋_GB2312" w:hAnsi="仿宋_GB2312" w:cs="仿宋_GB2312" w:hint="eastAsia" w:eastAsia="仿宋_GB2312"/>
          <w:sz w:val="32"/>
          <w:szCs w:val="32"/>
        </w:rPr>
        <w:t xml:space="preserve">厦门市人民政府   </w:t>
      </w:r>
    </w:p>
    <w:p>
      <w:pPr>
        <w:pStyle w:val="Normal"/>
        <w:keepNext w:val="false"/>
        <w:keepLines w:val="false"/>
        <w:pageBreakBefore w:val="false"/>
        <w:widowControl w:val="false"/>
        <w:kinsoku w:val="true"/>
        <w:overflowPunct w:val="true"/>
        <w:autoSpaceDE w:val="true"/>
        <w:bidi w:val="0"/>
        <w:spacing w:lineRule="exact" w:line="600"/>
        <w:ind w:firstLineChars="0" w:firstLine="0" w:startChars="1200" w:endChars="0" w:end="0"/>
        <w:jc w:val="end"/>
        <w:textAlignment w:val="auto"/>
        <w:rPr>
          <w:rFonts w:ascii="仿宋_GB2312" w:hAnsi="仿宋_GB2312" w:eastAsia="仿宋_GB2312" w:cs="仿宋_GB2312"/>
          <w:sz w:val="32"/>
          <w:szCs w:val="32"/>
        </w:rPr>
      </w:pPr>
      <w:r>
        <w:rPr>
          <w:rFonts w:eastAsia="仿宋_GB2312" w:cs="仿宋_GB2312" w:hint="eastAsia" w:ascii="仿宋_GB2312" w:hAnsi="仿宋_GB2312"/>
          <w:sz w:val="32"/>
          <w:szCs w:val="32"/>
        </w:rPr>
        <w:t>2020</w:t>
      </w:r>
      <w:r>
        <w:rPr>
          <w:rFonts w:ascii="仿宋_GB2312" w:hAnsi="仿宋_GB2312" w:cs="仿宋_GB2312" w:hint="eastAsia" w:eastAsia="仿宋_GB2312"/>
          <w:sz w:val="32"/>
          <w:szCs w:val="32"/>
        </w:rPr>
        <w:t>年</w:t>
      </w:r>
      <w:r>
        <w:rPr>
          <w:rFonts w:eastAsia="仿宋_GB2312" w:cs="仿宋_GB2312" w:hint="eastAsia" w:ascii="仿宋_GB2312" w:hAnsi="仿宋_GB2312"/>
          <w:sz w:val="32"/>
          <w:szCs w:val="32"/>
        </w:rPr>
        <w:t>7</w:t>
      </w:r>
      <w:r>
        <w:rPr>
          <w:rFonts w:ascii="仿宋_GB2312" w:hAnsi="仿宋_GB2312" w:cs="仿宋_GB2312" w:hint="eastAsia" w:eastAsia="仿宋_GB2312"/>
          <w:sz w:val="32"/>
          <w:szCs w:val="32"/>
        </w:rPr>
        <w:t>月</w:t>
      </w:r>
      <w:r>
        <w:rPr>
          <w:rFonts w:eastAsia="仿宋_GB2312" w:cs="仿宋_GB2312" w:hint="eastAsia" w:ascii="仿宋_GB2312" w:hAnsi="仿宋_GB2312"/>
          <w:sz w:val="32"/>
          <w:szCs w:val="32"/>
        </w:rPr>
        <w:t>10</w:t>
      </w:r>
      <w:r>
        <w:rPr>
          <w:rFonts w:ascii="仿宋_GB2312" w:hAnsi="仿宋_GB2312" w:cs="仿宋_GB2312" w:hint="eastAsia" w:eastAsia="仿宋_GB2312"/>
          <w:sz w:val="32"/>
          <w:szCs w:val="32"/>
        </w:rPr>
        <w:t xml:space="preserve">日  </w:t>
      </w:r>
    </w:p>
    <w:p>
      <w:pPr>
        <w:pStyle w:val="Normal"/>
        <w:keepNext w:val="false"/>
        <w:keepLines w:val="false"/>
        <w:pageBreakBefore w:val="false"/>
        <w:widowControl w:val="false"/>
        <w:kinsoku w:val="true"/>
        <w:overflowPunct w:val="true"/>
        <w:autoSpaceDE w:val="true"/>
        <w:bidi w:val="0"/>
        <w:snapToGrid w:val="false"/>
        <w:spacing w:lineRule="exact" w:line="600"/>
        <w:jc w:val="center"/>
        <w:textAlignment w:val="auto"/>
        <w:rPr>
          <w:rFonts w:ascii="宋体" w:hAnsi="宋体" w:eastAsia="宋体" w:cs="宋体" w:hint="eastAsia"/>
          <w:bCs/>
          <w:sz w:val="44"/>
          <w:szCs w:val="44"/>
        </w:rPr>
      </w:pPr>
      <w:r>
        <w:rPr>
          <w:rFonts w:ascii="宋体" w:hAnsi="宋体" w:cs="宋体" w:hint="eastAsia" w:eastAsia="宋体"/>
          <w:bCs/>
          <w:sz w:val="44"/>
          <w:szCs w:val="44"/>
        </w:rPr>
        <w:t>厦门经济特区会展业促进条例</w:t>
      </w:r>
    </w:p>
    <w:p>
      <w:pPr>
        <w:pStyle w:val="Normal"/>
        <w:keepNext w:val="false"/>
        <w:keepLines w:val="false"/>
        <w:pageBreakBefore w:val="false"/>
        <w:widowControl w:val="false"/>
        <w:kinsoku w:val="true"/>
        <w:overflowPunct w:val="true"/>
        <w:autoSpaceDE w:val="true"/>
        <w:bidi w:val="0"/>
        <w:spacing w:lineRule="exact" w:line="600"/>
        <w:jc w:val="center"/>
        <w:textAlignment w:val="auto"/>
        <w:rPr>
          <w:rFonts w:ascii="楷体_GB2312" w:hAnsi="楷体_GB2312" w:eastAsia="楷体_GB2312" w:hint="eastAsia"/>
          <w:b/>
          <w:sz w:val="32"/>
          <w:szCs w:val="32"/>
        </w:rPr>
      </w:pPr>
      <w:r>
        <w:rPr>
          <w:rFonts w:ascii="楷体_GB2312" w:hAnsi="楷体_GB2312" w:cs="仿宋;宋体" w:hint="eastAsia" w:eastAsia="楷体_GB2312"/>
          <w:sz w:val="32"/>
          <w:szCs w:val="32"/>
        </w:rPr>
        <w:t>（草 案）</w:t>
      </w:r>
    </w:p>
    <w:p>
      <w:pPr>
        <w:pStyle w:val="Normal"/>
        <w:keepNext w:val="false"/>
        <w:keepLines w:val="false"/>
        <w:pageBreakBefore w:val="false"/>
        <w:widowControl w:val="false"/>
        <w:kinsoku w:val="true"/>
        <w:overflowPunct w:val="true"/>
        <w:autoSpaceDE w:val="true"/>
        <w:bidi w:val="0"/>
        <w:spacing w:lineRule="exact" w:line="600"/>
        <w:textAlignment w:val="auto"/>
        <w:rPr>
          <w:rFonts w:ascii="楷体_GB2312" w:hAnsi="楷体_GB2312" w:eastAsia="楷体_GB2312" w:cs="仿宋;宋体" w:hint="eastAsia"/>
          <w:b/>
          <w:sz w:val="32"/>
          <w:szCs w:val="32"/>
        </w:rPr>
      </w:pPr>
      <w:r>
        <w:rPr>
          <w:rFonts w:eastAsia="楷体_GB2312" w:cs="仿宋;宋体" w:hint="eastAsia" w:ascii="楷体_GB2312" w:hAnsi="楷体_GB2312"/>
          <w:b/>
          <w:sz w:val="32"/>
          <w:szCs w:val="32"/>
        </w:rPr>
      </w:r>
    </w:p>
    <w:p>
      <w:pPr>
        <w:pStyle w:val="Normal"/>
        <w:keepNext w:val="false"/>
        <w:keepLines w:val="false"/>
        <w:pageBreakBefore w:val="false"/>
        <w:widowControl w:val="false"/>
        <w:kinsoku w:val="true"/>
        <w:overflowPunct w:val="true"/>
        <w:autoSpaceDE w:val="true"/>
        <w:bidi w:val="0"/>
        <w:spacing w:lineRule="exact" w:line="600"/>
        <w:jc w:val="center"/>
        <w:textAlignment w:val="auto"/>
        <w:rPr>
          <w:rFonts w:ascii="楷体_GB2312" w:hAnsi="楷体_GB2312" w:eastAsia="楷体_GB2312" w:cs="楷体_GB2312" w:hint="eastAsia"/>
          <w:color w:val="000000"/>
          <w:sz w:val="32"/>
          <w:szCs w:val="32"/>
        </w:rPr>
      </w:pPr>
      <w:r>
        <w:rPr>
          <w:rFonts w:ascii="楷体_GB2312" w:hAnsi="楷体_GB2312" w:cs="楷体_GB2312" w:hint="eastAsia" w:eastAsia="楷体_GB2312"/>
          <w:color w:val="000000"/>
          <w:sz w:val="32"/>
          <w:szCs w:val="32"/>
        </w:rPr>
        <w:t>目  录</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楷体_GB2312" w:hAnsi="楷体_GB2312" w:eastAsia="楷体_GB2312" w:cs="楷体_GB2312" w:hint="eastAsia"/>
          <w:color w:val="000000"/>
          <w:sz w:val="32"/>
          <w:szCs w:val="32"/>
        </w:rPr>
      </w:pPr>
      <w:r>
        <w:rPr>
          <w:rFonts w:ascii="楷体_GB2312" w:hAnsi="楷体_GB2312" w:cs="楷体_GB2312" w:hint="eastAsia" w:eastAsia="楷体_GB2312"/>
          <w:color w:val="000000"/>
          <w:sz w:val="32"/>
          <w:szCs w:val="32"/>
        </w:rPr>
        <w:t>第一章 总则</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楷体_GB2312" w:hAnsi="楷体_GB2312" w:eastAsia="楷体_GB2312" w:cs="楷体_GB2312" w:hint="eastAsia"/>
          <w:color w:val="000000"/>
          <w:sz w:val="32"/>
          <w:szCs w:val="32"/>
        </w:rPr>
      </w:pPr>
      <w:r>
        <w:rPr>
          <w:rFonts w:ascii="楷体_GB2312" w:hAnsi="楷体_GB2312" w:cs="楷体_GB2312" w:hint="eastAsia" w:eastAsia="楷体_GB2312"/>
          <w:color w:val="000000"/>
          <w:sz w:val="32"/>
          <w:szCs w:val="32"/>
        </w:rPr>
        <w:t>第二章 扶持和发展</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楷体_GB2312" w:hAnsi="楷体_GB2312" w:eastAsia="楷体_GB2312" w:cs="楷体_GB2312" w:hint="eastAsia"/>
          <w:color w:val="000000"/>
          <w:sz w:val="32"/>
          <w:szCs w:val="32"/>
        </w:rPr>
      </w:pPr>
      <w:r>
        <w:rPr>
          <w:rFonts w:ascii="楷体_GB2312" w:hAnsi="楷体_GB2312" w:cs="楷体_GB2312" w:hint="eastAsia" w:eastAsia="楷体_GB2312"/>
          <w:color w:val="000000"/>
          <w:sz w:val="32"/>
          <w:szCs w:val="32"/>
        </w:rPr>
        <w:t>第三章 服务和保障</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楷体_GB2312" w:hAnsi="楷体_GB2312" w:eastAsia="楷体_GB2312" w:cs="楷体_GB2312" w:hint="eastAsia"/>
          <w:color w:val="000000"/>
          <w:sz w:val="32"/>
          <w:szCs w:val="32"/>
        </w:rPr>
      </w:pPr>
      <w:r>
        <w:rPr>
          <w:rFonts w:ascii="楷体_GB2312" w:hAnsi="楷体_GB2312" w:cs="楷体_GB2312" w:hint="eastAsia" w:eastAsia="楷体_GB2312"/>
          <w:color w:val="000000"/>
          <w:sz w:val="32"/>
          <w:szCs w:val="32"/>
        </w:rPr>
        <w:t>第四章 规范和管理</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楷体_GB2312" w:hAnsi="楷体_GB2312" w:eastAsia="楷体_GB2312" w:cs="楷体_GB2312" w:hint="eastAsia"/>
          <w:color w:val="000000"/>
          <w:sz w:val="32"/>
          <w:szCs w:val="32"/>
        </w:rPr>
      </w:pPr>
      <w:r>
        <w:rPr>
          <w:rFonts w:ascii="楷体_GB2312" w:hAnsi="楷体_GB2312" w:cs="楷体_GB2312" w:hint="eastAsia" w:eastAsia="楷体_GB2312"/>
          <w:color w:val="000000"/>
          <w:sz w:val="32"/>
          <w:szCs w:val="32"/>
        </w:rPr>
        <w:t>第五章 附则</w:t>
      </w:r>
    </w:p>
    <w:p>
      <w:pPr>
        <w:pStyle w:val="Normal"/>
        <w:keepNext w:val="false"/>
        <w:keepLines w:val="false"/>
        <w:pageBreakBefore w:val="false"/>
        <w:widowControl w:val="false"/>
        <w:kinsoku w:val="true"/>
        <w:overflowPunct w:val="true"/>
        <w:autoSpaceDE w:val="true"/>
        <w:bidi w:val="0"/>
        <w:snapToGrid w:val="true"/>
        <w:spacing w:lineRule="exact" w:line="600" w:before="321" w:after="321"/>
        <w:jc w:val="center"/>
        <w:textAlignment w:val="auto"/>
        <w:rPr>
          <w:rFonts w:ascii="黑体" w:hAnsi="黑体" w:eastAsia="黑体" w:cs="黑体"/>
          <w:color w:val="000000"/>
          <w:kern w:val="0"/>
          <w:sz w:val="32"/>
          <w:szCs w:val="32"/>
        </w:rPr>
      </w:pPr>
      <w:r>
        <w:rPr>
          <w:rFonts w:ascii="黑体" w:hAnsi="黑体" w:cs="黑体" w:hint="eastAsia" w:eastAsia="黑体"/>
          <w:color w:val="000000"/>
          <w:kern w:val="0"/>
          <w:sz w:val="32"/>
          <w:szCs w:val="32"/>
        </w:rPr>
        <w:t>第一章  总  则</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cs="仿宋;宋体"/>
          <w:color w:val="000000"/>
          <w:kern w:val="0"/>
          <w:sz w:val="32"/>
          <w:szCs w:val="32"/>
        </w:rPr>
      </w:pPr>
      <w:r>
        <w:rPr>
          <w:rFonts w:ascii="黑体" w:hAnsi="黑体" w:cs="黑体" w:hint="eastAsia" w:eastAsia="黑体"/>
          <w:b w:val="false"/>
          <w:bCs w:val="false"/>
          <w:color w:val="000000"/>
        </w:rPr>
        <w:t>第一条</w:t>
      </w:r>
      <w:r>
        <w:rPr>
          <w:rFonts w:eastAsia="黑体" w:cs="黑体" w:hint="eastAsia" w:ascii="黑体" w:hAnsi="黑体"/>
          <w:b w:val="false"/>
          <w:bCs w:val="false"/>
          <w:color w:val="000000"/>
        </w:rPr>
        <w:t>(</w:t>
      </w:r>
      <w:r>
        <w:rPr>
          <w:rFonts w:ascii="黑体" w:hAnsi="黑体" w:cs="黑体" w:hint="eastAsia" w:eastAsia="黑体"/>
          <w:b w:val="false"/>
          <w:bCs w:val="false"/>
          <w:color w:val="000000"/>
        </w:rPr>
        <w:t>立法目的</w:t>
      </w:r>
      <w:r>
        <w:rPr>
          <w:rFonts w:eastAsia="黑体" w:cs="黑体" w:hint="eastAsia" w:ascii="黑体" w:hAnsi="黑体"/>
          <w:b w:val="false"/>
          <w:bCs w:val="false"/>
          <w:color w:val="000000"/>
        </w:rPr>
        <w:t>)</w:t>
      </w:r>
      <w:r>
        <w:rPr>
          <w:rFonts w:cs="仿宋;宋体" w:hint="eastAsia"/>
          <w:color w:val="000000"/>
          <w:sz w:val="32"/>
          <w:szCs w:val="32"/>
        </w:rPr>
        <w:t>为了促进会展业发展，规范会展业市场秩序，优化营商环境，打造国际会展名城，遵循有关法律、行政法</w:t>
      </w:r>
      <w:r>
        <w:rPr>
          <w:rFonts w:cs="仿宋;宋体" w:hint="eastAsia"/>
          <w:color w:val="000000"/>
          <w:kern w:val="0"/>
          <w:sz w:val="32"/>
          <w:szCs w:val="32"/>
        </w:rPr>
        <w:t>规的基本原则，结合厦门经济特区实际，制定本条例。</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cs="仿宋;宋体"/>
          <w:color w:val="000000"/>
          <w:kern w:val="0"/>
          <w:sz w:val="32"/>
          <w:szCs w:val="32"/>
        </w:rPr>
      </w:pPr>
      <w:r>
        <w:rPr>
          <w:rFonts w:ascii="黑体" w:hAnsi="黑体" w:cs="黑体" w:hint="eastAsia" w:eastAsia="黑体"/>
          <w:b w:val="false"/>
          <w:bCs w:val="false"/>
          <w:color w:val="000000"/>
        </w:rPr>
        <w:t>第二条</w:t>
      </w:r>
      <w:r>
        <w:rPr>
          <w:rFonts w:eastAsia="黑体" w:cs="黑体" w:hint="eastAsia" w:ascii="黑体" w:hAnsi="黑体"/>
          <w:b w:val="false"/>
          <w:bCs w:val="false"/>
          <w:color w:val="000000"/>
        </w:rPr>
        <w:t>(</w:t>
      </w:r>
      <w:r>
        <w:rPr>
          <w:rFonts w:ascii="黑体" w:hAnsi="黑体" w:cs="黑体" w:hint="eastAsia" w:eastAsia="黑体"/>
          <w:b w:val="false"/>
          <w:bCs w:val="false"/>
          <w:color w:val="000000"/>
        </w:rPr>
        <w:t>适用范围</w:t>
      </w:r>
      <w:r>
        <w:rPr>
          <w:rFonts w:eastAsia="黑体" w:cs="黑体" w:hint="eastAsia" w:ascii="黑体" w:hAnsi="黑体"/>
          <w:b w:val="false"/>
          <w:bCs w:val="false"/>
          <w:color w:val="000000"/>
        </w:rPr>
        <w:t>)</w:t>
      </w:r>
      <w:r>
        <w:rPr>
          <w:rFonts w:cs="仿宋;宋体" w:hint="eastAsia"/>
          <w:color w:val="000000"/>
          <w:kern w:val="0"/>
          <w:sz w:val="32"/>
          <w:szCs w:val="32"/>
        </w:rPr>
        <w:t>本条例适用于本行政区域内会展业的发展、服务和管理。</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cs="仿宋;宋体"/>
          <w:color w:val="000000"/>
          <w:kern w:val="0"/>
          <w:sz w:val="32"/>
          <w:szCs w:val="32"/>
        </w:rPr>
      </w:pPr>
      <w:r>
        <w:rPr>
          <w:rFonts w:ascii="黑体" w:hAnsi="黑体" w:cs="黑体" w:hint="eastAsia" w:eastAsia="黑体"/>
          <w:b w:val="false"/>
          <w:bCs w:val="false"/>
          <w:color w:val="000000"/>
        </w:rPr>
        <w:t>第三条</w:t>
      </w:r>
      <w:r>
        <w:rPr>
          <w:rFonts w:eastAsia="黑体" w:cs="黑体" w:hint="eastAsia" w:ascii="黑体" w:hAnsi="黑体"/>
          <w:b w:val="false"/>
          <w:bCs w:val="false"/>
          <w:color w:val="000000"/>
        </w:rPr>
        <w:t>(</w:t>
      </w:r>
      <w:r>
        <w:rPr>
          <w:rFonts w:ascii="黑体" w:hAnsi="黑体" w:cs="黑体" w:hint="eastAsia" w:eastAsia="黑体"/>
          <w:b w:val="false"/>
          <w:bCs w:val="false"/>
          <w:color w:val="000000"/>
        </w:rPr>
        <w:t>概念界定</w:t>
      </w:r>
      <w:r>
        <w:rPr>
          <w:rFonts w:eastAsia="黑体" w:cs="黑体" w:hint="eastAsia" w:ascii="黑体" w:hAnsi="黑体"/>
          <w:b w:val="false"/>
          <w:bCs w:val="false"/>
          <w:color w:val="000000"/>
        </w:rPr>
        <w:t>)</w:t>
      </w:r>
      <w:r>
        <w:rPr>
          <w:rFonts w:cs="仿宋;宋体" w:hint="eastAsia"/>
          <w:color w:val="000000"/>
          <w:kern w:val="0"/>
          <w:sz w:val="32"/>
          <w:szCs w:val="32"/>
        </w:rPr>
        <w:t>本条例所称会展业，是指通过举办会展活动，促进贸易、科技、旅游、文化、教育、体育等领域发展的综合性产业。</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cs="仿宋;宋体"/>
          <w:color w:val="000000"/>
          <w:kern w:val="0"/>
          <w:sz w:val="32"/>
          <w:szCs w:val="32"/>
        </w:rPr>
      </w:pPr>
      <w:r>
        <w:rPr>
          <w:rFonts w:cs="仿宋;宋体" w:hint="eastAsia"/>
          <w:color w:val="000000"/>
          <w:kern w:val="0"/>
          <w:sz w:val="32"/>
          <w:szCs w:val="32"/>
        </w:rPr>
        <w:t>前款所称会展活动，是指在特定场所和一定期限内举办的会议、展览、演艺、节庆、赛事等活动中，进行物品、技术、服务等展示，或者为参与者提供推介、洽谈和交流等服务的活动。</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cs="仿宋;宋体"/>
          <w:color w:val="000000"/>
          <w:kern w:val="0"/>
          <w:sz w:val="32"/>
          <w:szCs w:val="32"/>
        </w:rPr>
      </w:pPr>
      <w:r>
        <w:rPr>
          <w:rFonts w:ascii="黑体" w:hAnsi="黑体" w:cs="黑体" w:hint="eastAsia" w:eastAsia="黑体"/>
          <w:b w:val="false"/>
          <w:bCs w:val="false"/>
          <w:color w:val="000000"/>
        </w:rPr>
        <w:t>第四条</w:t>
      </w:r>
      <w:r>
        <w:rPr>
          <w:rFonts w:eastAsia="黑体" w:cs="黑体" w:hint="eastAsia" w:ascii="黑体" w:hAnsi="黑体"/>
          <w:b w:val="false"/>
          <w:bCs w:val="false"/>
          <w:color w:val="000000"/>
        </w:rPr>
        <w:t>(</w:t>
      </w:r>
      <w:r>
        <w:rPr>
          <w:rFonts w:ascii="黑体" w:hAnsi="黑体" w:cs="黑体" w:hint="eastAsia" w:eastAsia="黑体"/>
          <w:b w:val="false"/>
          <w:bCs w:val="false"/>
          <w:color w:val="000000"/>
        </w:rPr>
        <w:t>发展原则</w:t>
      </w:r>
      <w:r>
        <w:rPr>
          <w:rFonts w:eastAsia="黑体" w:cs="黑体" w:hint="eastAsia" w:ascii="黑体" w:hAnsi="黑体"/>
          <w:b w:val="false"/>
          <w:bCs w:val="false"/>
          <w:color w:val="000000"/>
        </w:rPr>
        <w:t>)</w:t>
      </w:r>
      <w:r>
        <w:rPr>
          <w:rFonts w:cs="仿宋;宋体" w:hint="eastAsia"/>
          <w:color w:val="000000"/>
          <w:kern w:val="0"/>
          <w:sz w:val="32"/>
          <w:szCs w:val="32"/>
        </w:rPr>
        <w:t>会展业发展遵循市场运作、公平竞争、政府引导、行业自律的原则。</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cs="仿宋;宋体"/>
          <w:color w:val="000000"/>
          <w:spacing w:val="-6"/>
          <w:kern w:val="0"/>
          <w:sz w:val="32"/>
          <w:szCs w:val="32"/>
        </w:rPr>
      </w:pPr>
      <w:r>
        <w:rPr>
          <w:rFonts w:ascii="黑体" w:hAnsi="黑体" w:cs="黑体" w:hint="eastAsia" w:eastAsia="黑体"/>
          <w:b w:val="false"/>
          <w:bCs w:val="false"/>
          <w:color w:val="000000"/>
        </w:rPr>
        <w:t>第五条</w:t>
      </w:r>
      <w:r>
        <w:rPr>
          <w:rFonts w:eastAsia="黑体" w:cs="黑体" w:hint="eastAsia" w:ascii="黑体" w:hAnsi="黑体"/>
          <w:b w:val="false"/>
          <w:bCs w:val="false"/>
          <w:color w:val="000000"/>
        </w:rPr>
        <w:t>(</w:t>
      </w:r>
      <w:r>
        <w:rPr>
          <w:rFonts w:ascii="黑体" w:hAnsi="黑体" w:cs="黑体" w:hint="eastAsia" w:eastAsia="黑体"/>
          <w:b w:val="false"/>
          <w:bCs w:val="false"/>
          <w:color w:val="000000"/>
        </w:rPr>
        <w:t>政府职责</w:t>
      </w:r>
      <w:r>
        <w:rPr>
          <w:rFonts w:eastAsia="黑体" w:cs="黑体" w:hint="eastAsia" w:ascii="黑体" w:hAnsi="黑体"/>
          <w:b w:val="false"/>
          <w:bCs w:val="false"/>
          <w:color w:val="000000"/>
        </w:rPr>
        <w:t>)</w:t>
      </w:r>
      <w:r>
        <w:rPr>
          <w:rFonts w:cs="仿宋;宋体" w:hint="eastAsia"/>
          <w:color w:val="000000"/>
          <w:kern w:val="0"/>
          <w:sz w:val="32"/>
          <w:szCs w:val="32"/>
        </w:rPr>
        <w:t>市</w:t>
      </w:r>
      <w:r>
        <w:rPr>
          <w:rFonts w:cs="仿宋;宋体" w:hint="eastAsia"/>
          <w:color w:val="000000"/>
          <w:spacing w:val="-6"/>
          <w:kern w:val="0"/>
          <w:sz w:val="32"/>
          <w:szCs w:val="32"/>
        </w:rPr>
        <w:t>人民政府应当加强对会展业的统筹规划，建立会展业议事协调机制，协调会展业发展以及会展活动的重大事项。</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cs="仿宋;宋体"/>
          <w:color w:val="000000"/>
          <w:kern w:val="0"/>
          <w:sz w:val="32"/>
          <w:szCs w:val="32"/>
        </w:rPr>
      </w:pPr>
      <w:r>
        <w:rPr>
          <w:rFonts w:cs="仿宋;宋体" w:hint="eastAsia"/>
          <w:color w:val="000000"/>
          <w:kern w:val="0"/>
          <w:sz w:val="32"/>
          <w:szCs w:val="32"/>
        </w:rPr>
        <w:t>区人民政府应当结合本区域经济社会发展实际，鼓励、扶持会展业发展，依照职责负责协调本区域会展活动的组织实施、服务保障和规范管理工作。</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cs="仿宋;宋体"/>
          <w:color w:val="000000"/>
          <w:kern w:val="0"/>
          <w:sz w:val="32"/>
          <w:szCs w:val="32"/>
        </w:rPr>
      </w:pPr>
      <w:r>
        <w:rPr>
          <w:rFonts w:ascii="黑体" w:hAnsi="黑体" w:cs="黑体" w:hint="eastAsia" w:eastAsia="黑体"/>
          <w:b w:val="false"/>
          <w:bCs w:val="false"/>
          <w:color w:val="000000"/>
        </w:rPr>
        <w:t>第六条</w:t>
      </w:r>
      <w:r>
        <w:rPr>
          <w:rFonts w:eastAsia="黑体" w:cs="黑体" w:hint="eastAsia" w:ascii="黑体" w:hAnsi="黑体"/>
          <w:b w:val="false"/>
          <w:bCs w:val="false"/>
          <w:color w:val="000000"/>
        </w:rPr>
        <w:t>(</w:t>
      </w:r>
      <w:r>
        <w:rPr>
          <w:rFonts w:ascii="黑体" w:hAnsi="黑体" w:cs="黑体" w:hint="eastAsia" w:eastAsia="黑体"/>
          <w:b w:val="false"/>
          <w:bCs w:val="false"/>
          <w:color w:val="000000"/>
        </w:rPr>
        <w:t>部门职责</w:t>
      </w:r>
      <w:r>
        <w:rPr>
          <w:rFonts w:eastAsia="黑体" w:cs="黑体" w:hint="eastAsia" w:ascii="黑体" w:hAnsi="黑体"/>
          <w:b w:val="false"/>
          <w:bCs w:val="false"/>
          <w:color w:val="000000"/>
        </w:rPr>
        <w:t>)</w:t>
      </w:r>
      <w:r>
        <w:rPr>
          <w:rFonts w:cs="仿宋;宋体" w:hint="eastAsia"/>
          <w:color w:val="000000"/>
          <w:kern w:val="0"/>
          <w:sz w:val="32"/>
          <w:szCs w:val="32"/>
        </w:rPr>
        <w:t>市商务部门是本市会展业主管部门（以下称市会展业主管部门），具体负责会展业综合协调、引导规范和服务保障等工作。</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cs="仿宋;宋体"/>
          <w:color w:val="000000"/>
          <w:kern w:val="0"/>
          <w:sz w:val="32"/>
          <w:szCs w:val="32"/>
        </w:rPr>
      </w:pPr>
      <w:r>
        <w:rPr>
          <w:rFonts w:cs="仿宋;宋体" w:hint="eastAsia"/>
          <w:color w:val="000000"/>
          <w:kern w:val="0"/>
          <w:sz w:val="32"/>
          <w:szCs w:val="32"/>
        </w:rPr>
        <w:t>区人民政府确定的会展业主管部门，具体负责本区域内会展业相关工作。</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cs="仿宋;宋体"/>
          <w:color w:val="000000"/>
          <w:kern w:val="0"/>
          <w:sz w:val="32"/>
          <w:szCs w:val="32"/>
        </w:rPr>
      </w:pPr>
      <w:r>
        <w:rPr>
          <w:rFonts w:cs="仿宋;宋体" w:hint="eastAsia"/>
          <w:color w:val="000000"/>
          <w:kern w:val="0"/>
          <w:sz w:val="32"/>
          <w:szCs w:val="32"/>
        </w:rPr>
        <w:t>发改、财政、资源规划、工信、科技、金融、卫健、教育、文旅、体育等有关部门在各自职责范围内做好会展业促进的相关工作。</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cs="仿宋;宋体"/>
          <w:color w:val="000000"/>
          <w:kern w:val="0"/>
          <w:sz w:val="32"/>
          <w:szCs w:val="32"/>
        </w:rPr>
      </w:pPr>
      <w:r>
        <w:rPr>
          <w:rFonts w:ascii="黑体" w:hAnsi="黑体" w:cs="黑体" w:hint="eastAsia" w:eastAsia="黑体"/>
          <w:b w:val="false"/>
          <w:bCs w:val="false"/>
          <w:color w:val="000000"/>
        </w:rPr>
        <w:t>第七条</w:t>
      </w:r>
      <w:r>
        <w:rPr>
          <w:rFonts w:eastAsia="黑体" w:cs="黑体" w:hint="eastAsia" w:ascii="黑体" w:hAnsi="黑体"/>
          <w:b w:val="false"/>
          <w:bCs w:val="false"/>
          <w:color w:val="000000"/>
        </w:rPr>
        <w:t>(</w:t>
      </w:r>
      <w:r>
        <w:rPr>
          <w:rFonts w:ascii="黑体" w:hAnsi="黑体" w:cs="黑体" w:hint="eastAsia" w:eastAsia="黑体"/>
          <w:b w:val="false"/>
          <w:bCs w:val="false"/>
          <w:color w:val="000000"/>
        </w:rPr>
        <w:t>行业组织</w:t>
      </w:r>
      <w:r>
        <w:rPr>
          <w:rFonts w:eastAsia="黑体" w:cs="黑体" w:hint="eastAsia" w:ascii="黑体" w:hAnsi="黑体"/>
          <w:b w:val="false"/>
          <w:bCs w:val="false"/>
          <w:color w:val="000000"/>
        </w:rPr>
        <w:t>)</w:t>
      </w:r>
      <w:r>
        <w:rPr>
          <w:rFonts w:cs="仿宋;宋体" w:hint="eastAsia"/>
          <w:color w:val="000000"/>
          <w:kern w:val="0"/>
          <w:sz w:val="32"/>
          <w:szCs w:val="32"/>
        </w:rPr>
        <w:t>与会展业相关的行业组织应当加强行业自律，开展市场研究、业务培训，促进行业交流与合作，引导会员规范经营，推动行业公平竞争和有序发展。</w:t>
      </w:r>
    </w:p>
    <w:p>
      <w:pPr>
        <w:pStyle w:val="Normal"/>
        <w:keepNext w:val="false"/>
        <w:keepLines w:val="false"/>
        <w:pageBreakBefore w:val="false"/>
        <w:widowControl w:val="false"/>
        <w:kinsoku w:val="true"/>
        <w:overflowPunct w:val="true"/>
        <w:autoSpaceDE w:val="true"/>
        <w:bidi w:val="0"/>
        <w:snapToGrid w:val="true"/>
        <w:spacing w:lineRule="exact" w:line="600" w:before="321" w:after="321"/>
        <w:jc w:val="center"/>
        <w:textAlignment w:val="auto"/>
        <w:rPr>
          <w:rFonts w:ascii="黑体" w:hAnsi="黑体" w:eastAsia="黑体" w:cs="黑体"/>
          <w:color w:val="000000"/>
          <w:kern w:val="0"/>
          <w:sz w:val="32"/>
          <w:szCs w:val="32"/>
        </w:rPr>
      </w:pPr>
      <w:r>
        <w:rPr>
          <w:rFonts w:ascii="黑体" w:hAnsi="黑体" w:cs="黑体" w:hint="eastAsia" w:eastAsia="黑体"/>
          <w:color w:val="000000"/>
          <w:kern w:val="0"/>
          <w:sz w:val="32"/>
          <w:szCs w:val="32"/>
        </w:rPr>
        <w:t>第二章  扶持和发展</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cs="仿宋;宋体"/>
          <w:color w:val="000000"/>
          <w:kern w:val="0"/>
          <w:sz w:val="32"/>
          <w:szCs w:val="32"/>
        </w:rPr>
      </w:pPr>
      <w:r>
        <w:rPr>
          <w:rFonts w:ascii="黑体" w:hAnsi="黑体" w:cs="黑体" w:hint="eastAsia" w:eastAsia="黑体"/>
          <w:b w:val="false"/>
          <w:bCs w:val="false"/>
          <w:color w:val="000000"/>
        </w:rPr>
        <w:t>第八条</w:t>
      </w:r>
      <w:r>
        <w:rPr>
          <w:rFonts w:eastAsia="黑体" w:cs="黑体" w:hint="eastAsia" w:ascii="黑体" w:hAnsi="黑体"/>
          <w:b w:val="false"/>
          <w:bCs w:val="false"/>
          <w:color w:val="000000"/>
        </w:rPr>
        <w:t>(</w:t>
      </w:r>
      <w:r>
        <w:rPr>
          <w:rFonts w:ascii="黑体" w:hAnsi="黑体" w:cs="黑体" w:hint="eastAsia" w:eastAsia="黑体"/>
          <w:b w:val="false"/>
          <w:bCs w:val="false"/>
          <w:color w:val="000000"/>
        </w:rPr>
        <w:t>发展规划</w:t>
      </w:r>
      <w:r>
        <w:rPr>
          <w:rFonts w:eastAsia="黑体" w:cs="黑体" w:hint="eastAsia" w:ascii="黑体" w:hAnsi="黑体"/>
          <w:b w:val="false"/>
          <w:bCs w:val="false"/>
          <w:color w:val="000000"/>
        </w:rPr>
        <w:t>)</w:t>
      </w:r>
      <w:r>
        <w:rPr>
          <w:rFonts w:cs="仿宋;宋体" w:hint="eastAsia"/>
          <w:bCs/>
          <w:color w:val="000000"/>
          <w:kern w:val="0"/>
          <w:sz w:val="32"/>
          <w:szCs w:val="32"/>
        </w:rPr>
        <w:t>市人民政府应当将会展业发展纳入</w:t>
      </w:r>
      <w:r>
        <w:rPr>
          <w:rFonts w:cs="仿宋;宋体" w:hint="eastAsia"/>
          <w:color w:val="000000"/>
          <w:kern w:val="0"/>
          <w:sz w:val="32"/>
          <w:szCs w:val="32"/>
        </w:rPr>
        <w:t>国民经济和社会发展规划，明确会展业发展的目标、任务、重点和保障措施等内容。</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cs="仿宋;宋体"/>
          <w:color w:val="000000"/>
          <w:kern w:val="0"/>
          <w:sz w:val="32"/>
          <w:szCs w:val="32"/>
        </w:rPr>
      </w:pPr>
      <w:r>
        <w:rPr>
          <w:rFonts w:ascii="黑体" w:hAnsi="黑体" w:cs="黑体" w:hint="eastAsia" w:eastAsia="黑体"/>
          <w:b w:val="false"/>
          <w:bCs w:val="false"/>
          <w:color w:val="000000"/>
        </w:rPr>
        <w:t>第九条</w:t>
      </w:r>
      <w:r>
        <w:rPr>
          <w:rFonts w:eastAsia="黑体" w:cs="黑体" w:hint="eastAsia" w:ascii="黑体" w:hAnsi="黑体"/>
          <w:b w:val="false"/>
          <w:bCs w:val="false"/>
          <w:color w:val="000000"/>
        </w:rPr>
        <w:t>(</w:t>
      </w:r>
      <w:r>
        <w:rPr>
          <w:rFonts w:ascii="黑体" w:hAnsi="黑体" w:cs="黑体" w:hint="eastAsia" w:eastAsia="黑体"/>
          <w:b w:val="false"/>
          <w:bCs w:val="false"/>
          <w:color w:val="000000"/>
        </w:rPr>
        <w:t>场馆建设</w:t>
      </w:r>
      <w:r>
        <w:rPr>
          <w:rFonts w:eastAsia="黑体" w:cs="黑体" w:hint="eastAsia" w:ascii="黑体" w:hAnsi="黑体"/>
          <w:b w:val="false"/>
          <w:bCs w:val="false"/>
          <w:color w:val="000000"/>
        </w:rPr>
        <w:t>)</w:t>
      </w:r>
      <w:r>
        <w:rPr>
          <w:rFonts w:cs="仿宋;宋体" w:hint="eastAsia"/>
          <w:color w:val="000000"/>
          <w:kern w:val="0"/>
          <w:sz w:val="32"/>
          <w:szCs w:val="32"/>
        </w:rPr>
        <w:t>市、区人民政府应当充分利用现有会展场馆，根据需要加强会展场馆建设。</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cs="仿宋;宋体"/>
          <w:color w:val="000000"/>
          <w:kern w:val="0"/>
          <w:sz w:val="32"/>
          <w:szCs w:val="32"/>
        </w:rPr>
      </w:pPr>
      <w:r>
        <w:rPr>
          <w:rFonts w:cs="仿宋;宋体" w:hint="eastAsia"/>
          <w:color w:val="000000"/>
          <w:kern w:val="0"/>
          <w:sz w:val="32"/>
          <w:szCs w:val="32"/>
        </w:rPr>
        <w:t>新建会展场馆应当满足布局合理、功能优化、交通便利的要求，并完善配套基础设施建设。</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cs="仿宋;宋体"/>
          <w:color w:val="000000"/>
          <w:kern w:val="0"/>
          <w:sz w:val="32"/>
          <w:szCs w:val="32"/>
        </w:rPr>
      </w:pPr>
      <w:r>
        <w:rPr>
          <w:rFonts w:cs="仿宋;宋体" w:hint="eastAsia"/>
          <w:color w:val="000000"/>
          <w:kern w:val="0"/>
          <w:sz w:val="32"/>
          <w:szCs w:val="32"/>
        </w:rPr>
        <w:t>鼓励社会资本和境外投资者参与会展场馆和配套设施建设，推进政府投资的会展场馆市场化运营。</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cs="仿宋;宋体"/>
          <w:color w:val="000000"/>
          <w:kern w:val="0"/>
          <w:sz w:val="32"/>
          <w:szCs w:val="32"/>
        </w:rPr>
      </w:pPr>
      <w:r>
        <w:rPr>
          <w:rFonts w:ascii="黑体" w:hAnsi="黑体" w:cs="黑体" w:hint="eastAsia" w:eastAsia="黑体"/>
          <w:b w:val="false"/>
          <w:bCs w:val="false"/>
          <w:color w:val="000000"/>
        </w:rPr>
        <w:t>第十条</w:t>
      </w:r>
      <w:r>
        <w:rPr>
          <w:rFonts w:eastAsia="黑体" w:cs="黑体" w:hint="eastAsia" w:ascii="黑体" w:hAnsi="黑体"/>
          <w:b w:val="false"/>
          <w:bCs w:val="false"/>
          <w:color w:val="000000"/>
        </w:rPr>
        <w:t>(</w:t>
      </w:r>
      <w:r>
        <w:rPr>
          <w:rFonts w:ascii="黑体" w:hAnsi="黑体" w:cs="黑体" w:hint="eastAsia" w:eastAsia="黑体"/>
          <w:b w:val="false"/>
          <w:bCs w:val="false"/>
          <w:color w:val="000000"/>
        </w:rPr>
        <w:t>资金扶持</w:t>
      </w:r>
      <w:r>
        <w:rPr>
          <w:rFonts w:eastAsia="黑体" w:cs="黑体" w:hint="eastAsia" w:ascii="黑体" w:hAnsi="黑体"/>
          <w:b w:val="false"/>
          <w:bCs w:val="false"/>
          <w:color w:val="000000"/>
        </w:rPr>
        <w:t>)</w:t>
      </w:r>
      <w:r>
        <w:rPr>
          <w:rFonts w:cs="仿宋;宋体" w:hint="eastAsia"/>
          <w:color w:val="000000"/>
          <w:kern w:val="0"/>
          <w:sz w:val="32"/>
          <w:szCs w:val="32"/>
        </w:rPr>
        <w:t>市人民政府应当安排会展业发展专项资金，纳入本级财政预算，支持会展举办、品牌会展引进与培育、会展业与相关产业联动、会展业宣传推广、人才培训、信息化建设等工作。资金使用的具体办法由市会展业主管部门会同市财政部门制定。</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cs="仿宋;宋体"/>
          <w:color w:val="000000"/>
          <w:kern w:val="0"/>
          <w:sz w:val="32"/>
          <w:szCs w:val="32"/>
        </w:rPr>
      </w:pPr>
      <w:r>
        <w:rPr>
          <w:rFonts w:cs="仿宋;宋体" w:hint="eastAsia"/>
          <w:color w:val="000000"/>
          <w:kern w:val="0"/>
          <w:sz w:val="32"/>
          <w:szCs w:val="32"/>
        </w:rPr>
        <w:t>鼓励各区人民政府根据实际安排会展业发展资金。</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cs="仿宋;宋体"/>
          <w:color w:val="000000"/>
          <w:sz w:val="32"/>
          <w:szCs w:val="32"/>
        </w:rPr>
      </w:pPr>
      <w:r>
        <w:rPr>
          <w:rFonts w:ascii="黑体" w:hAnsi="黑体" w:cs="黑体" w:hint="eastAsia" w:eastAsia="黑体"/>
          <w:b w:val="false"/>
          <w:bCs w:val="false"/>
          <w:color w:val="000000"/>
        </w:rPr>
        <w:t>第十一条</w:t>
      </w:r>
      <w:r>
        <w:rPr>
          <w:rFonts w:eastAsia="黑体" w:cs="黑体" w:hint="eastAsia" w:ascii="黑体" w:hAnsi="黑体"/>
          <w:b w:val="false"/>
          <w:bCs w:val="false"/>
          <w:color w:val="000000"/>
        </w:rPr>
        <w:t>(</w:t>
      </w:r>
      <w:r>
        <w:rPr>
          <w:rFonts w:ascii="黑体" w:hAnsi="黑体" w:cs="黑体" w:hint="eastAsia" w:eastAsia="黑体"/>
          <w:b w:val="false"/>
          <w:bCs w:val="false"/>
          <w:color w:val="000000"/>
        </w:rPr>
        <w:t>市场化</w:t>
      </w:r>
      <w:r>
        <w:rPr>
          <w:rFonts w:eastAsia="黑体" w:cs="黑体" w:hint="eastAsia" w:ascii="黑体" w:hAnsi="黑体"/>
          <w:b w:val="false"/>
          <w:bCs w:val="false"/>
          <w:color w:val="000000"/>
        </w:rPr>
        <w:t>)</w:t>
      </w:r>
      <w:r>
        <w:rPr>
          <w:rFonts w:cs="仿宋;宋体" w:hint="eastAsia"/>
          <w:color w:val="000000"/>
          <w:sz w:val="32"/>
          <w:szCs w:val="32"/>
        </w:rPr>
        <w:t>政府举办的会展活动逐步实现市场运作，逐步加大公共服务购买力度。</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cs="仿宋;宋体"/>
          <w:color w:val="000000"/>
          <w:kern w:val="0"/>
          <w:sz w:val="32"/>
          <w:szCs w:val="32"/>
        </w:rPr>
      </w:pPr>
      <w:r>
        <w:rPr>
          <w:rFonts w:cs="仿宋;宋体" w:hint="eastAsia"/>
          <w:color w:val="000000"/>
          <w:kern w:val="0"/>
          <w:sz w:val="32"/>
          <w:szCs w:val="32"/>
        </w:rPr>
        <w:t>支持社会资本设立面向会展业的产业投资基金。重点投向本地会展业且符合相关要求的，可以按照规定申请市产业引导基金予以支持。</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cs="仿宋;宋体"/>
          <w:b/>
          <w:bCs/>
          <w:color w:val="000000"/>
          <w:kern w:val="0"/>
          <w:sz w:val="32"/>
          <w:szCs w:val="32"/>
        </w:rPr>
      </w:pPr>
      <w:r>
        <w:rPr>
          <w:rFonts w:ascii="黑体" w:hAnsi="黑体" w:cs="黑体" w:hint="eastAsia" w:eastAsia="黑体"/>
          <w:b w:val="false"/>
          <w:bCs w:val="false"/>
          <w:color w:val="000000"/>
        </w:rPr>
        <w:t>第十二条</w:t>
      </w:r>
      <w:r>
        <w:rPr>
          <w:rFonts w:eastAsia="黑体" w:cs="黑体" w:hint="eastAsia" w:ascii="黑体" w:hAnsi="黑体"/>
          <w:b w:val="false"/>
          <w:bCs w:val="false"/>
          <w:color w:val="000000"/>
        </w:rPr>
        <w:t>(</w:t>
      </w:r>
      <w:r>
        <w:rPr>
          <w:rFonts w:ascii="黑体" w:hAnsi="黑体" w:cs="黑体" w:hint="eastAsia" w:eastAsia="黑体"/>
          <w:b w:val="false"/>
          <w:bCs w:val="false"/>
          <w:color w:val="000000"/>
        </w:rPr>
        <w:t>知识产权保护</w:t>
      </w:r>
      <w:r>
        <w:rPr>
          <w:rFonts w:eastAsia="黑体" w:cs="黑体" w:hint="eastAsia" w:ascii="黑体" w:hAnsi="黑体"/>
          <w:b w:val="false"/>
          <w:bCs w:val="false"/>
          <w:color w:val="000000"/>
        </w:rPr>
        <w:t>)</w:t>
      </w:r>
      <w:r>
        <w:rPr>
          <w:rFonts w:cs="仿宋;宋体" w:hint="eastAsia"/>
          <w:color w:val="000000"/>
          <w:kern w:val="0"/>
          <w:sz w:val="32"/>
          <w:szCs w:val="32"/>
        </w:rPr>
        <w:t>市人民政府应当完善会展业知识产权保护机制。</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cs="仿宋;宋体"/>
          <w:b/>
          <w:bCs/>
          <w:color w:val="000000"/>
          <w:kern w:val="0"/>
          <w:sz w:val="32"/>
          <w:szCs w:val="32"/>
        </w:rPr>
      </w:pPr>
      <w:r>
        <w:rPr>
          <w:rFonts w:cs="仿宋;宋体" w:hint="eastAsia"/>
          <w:color w:val="000000"/>
          <w:kern w:val="0"/>
          <w:sz w:val="32"/>
          <w:szCs w:val="32"/>
        </w:rPr>
        <w:t>鼓励会展企业注册商标，保护会展名称、标志等无形资产。</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cs="仿宋;宋体"/>
          <w:bCs/>
          <w:color w:val="000000"/>
          <w:kern w:val="0"/>
          <w:sz w:val="32"/>
          <w:szCs w:val="32"/>
        </w:rPr>
      </w:pPr>
      <w:r>
        <w:rPr>
          <w:rFonts w:ascii="黑体" w:hAnsi="黑体" w:cs="黑体" w:hint="eastAsia" w:eastAsia="黑体"/>
          <w:b w:val="false"/>
          <w:bCs w:val="false"/>
          <w:color w:val="000000"/>
        </w:rPr>
        <w:t>第十三条</w:t>
      </w:r>
      <w:r>
        <w:rPr>
          <w:rFonts w:eastAsia="黑体" w:cs="黑体" w:hint="eastAsia" w:ascii="黑体" w:hAnsi="黑体"/>
          <w:b w:val="false"/>
          <w:bCs w:val="false"/>
          <w:color w:val="000000"/>
        </w:rPr>
        <w:t>(</w:t>
      </w:r>
      <w:r>
        <w:rPr>
          <w:rFonts w:ascii="黑体" w:hAnsi="黑体" w:cs="黑体" w:hint="eastAsia" w:eastAsia="黑体"/>
          <w:b w:val="false"/>
          <w:bCs w:val="false"/>
          <w:color w:val="000000"/>
        </w:rPr>
        <w:t>国际化培育</w:t>
      </w:r>
      <w:r>
        <w:rPr>
          <w:rFonts w:eastAsia="黑体" w:cs="黑体" w:hint="eastAsia" w:ascii="黑体" w:hAnsi="黑体"/>
          <w:b w:val="false"/>
          <w:bCs w:val="false"/>
          <w:color w:val="000000"/>
        </w:rPr>
        <w:t>)</w:t>
      </w:r>
      <w:r>
        <w:rPr>
          <w:rFonts w:cs="仿宋;宋体" w:hint="eastAsia"/>
          <w:bCs/>
          <w:color w:val="000000"/>
          <w:kern w:val="0"/>
          <w:sz w:val="32"/>
          <w:szCs w:val="32"/>
        </w:rPr>
        <w:t>市人民政府及其有关部门应当加强与国际会展专门机构的联系，建立国际会展引进和申办联动机制，积极引进国际知名会展机构和会展活动。</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cs="仿宋;宋体"/>
          <w:bCs/>
          <w:color w:val="000000"/>
          <w:kern w:val="0"/>
          <w:sz w:val="32"/>
          <w:szCs w:val="32"/>
        </w:rPr>
      </w:pPr>
      <w:r>
        <w:rPr>
          <w:rFonts w:cs="仿宋;宋体" w:hint="eastAsia"/>
          <w:bCs/>
          <w:color w:val="000000"/>
          <w:kern w:val="0"/>
          <w:sz w:val="32"/>
          <w:szCs w:val="32"/>
        </w:rPr>
        <w:t>推动联合国相关机构和会议、展览、演艺、节庆、赛事等方面的国际组织入驻本市或者设立办事机构。</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cs="仿宋;宋体"/>
          <w:b/>
          <w:bCs/>
          <w:color w:val="000000"/>
          <w:kern w:val="0"/>
          <w:sz w:val="32"/>
          <w:szCs w:val="32"/>
        </w:rPr>
      </w:pPr>
      <w:r>
        <w:rPr>
          <w:rFonts w:cs="仿宋;宋体" w:hint="eastAsia"/>
          <w:bCs/>
          <w:color w:val="000000"/>
          <w:kern w:val="0"/>
          <w:sz w:val="32"/>
          <w:szCs w:val="32"/>
        </w:rPr>
        <w:t>鼓励本市会展企业加入国际展览业协会、国际大会及会议协会等国际知名会展业组织，推动会展品牌获得国际认证。</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cs="仿宋;宋体"/>
          <w:color w:val="000000"/>
          <w:kern w:val="0"/>
          <w:sz w:val="32"/>
          <w:szCs w:val="32"/>
        </w:rPr>
      </w:pPr>
      <w:r>
        <w:rPr>
          <w:rFonts w:ascii="黑体" w:hAnsi="黑体" w:cs="黑体" w:hint="eastAsia" w:eastAsia="黑体"/>
          <w:b w:val="false"/>
          <w:bCs w:val="false"/>
          <w:color w:val="000000"/>
        </w:rPr>
        <w:t>第十四条</w:t>
      </w:r>
      <w:r>
        <w:rPr>
          <w:rFonts w:eastAsia="黑体" w:cs="黑体" w:hint="eastAsia" w:ascii="黑体" w:hAnsi="黑体"/>
          <w:b w:val="false"/>
          <w:bCs w:val="false"/>
          <w:color w:val="000000"/>
        </w:rPr>
        <w:t>(</w:t>
      </w:r>
      <w:r>
        <w:rPr>
          <w:rFonts w:ascii="黑体" w:hAnsi="黑体" w:cs="黑体" w:hint="eastAsia" w:eastAsia="黑体"/>
          <w:b w:val="false"/>
          <w:bCs w:val="false"/>
          <w:color w:val="000000"/>
        </w:rPr>
        <w:t>品牌培育</w:t>
      </w:r>
      <w:r>
        <w:rPr>
          <w:rFonts w:eastAsia="黑体" w:cs="黑体" w:hint="eastAsia" w:ascii="黑体" w:hAnsi="黑体"/>
          <w:b w:val="false"/>
          <w:bCs w:val="false"/>
          <w:color w:val="000000"/>
        </w:rPr>
        <w:t>)</w:t>
      </w:r>
      <w:r>
        <w:rPr>
          <w:rFonts w:cs="仿宋;宋体" w:hint="eastAsia"/>
          <w:color w:val="000000"/>
          <w:kern w:val="0"/>
          <w:sz w:val="32"/>
          <w:szCs w:val="32"/>
        </w:rPr>
        <w:t>市人民政府及其有关部门应当鼓励本市企业创办、培育品牌会展，引进与优势产业有关的品牌会展，支持国际性、全国性和区域性大型特色品牌会展。</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cs="仿宋;宋体"/>
          <w:b/>
          <w:bCs/>
          <w:color w:val="000000"/>
          <w:kern w:val="0"/>
          <w:sz w:val="32"/>
          <w:szCs w:val="32"/>
        </w:rPr>
      </w:pPr>
      <w:r>
        <w:rPr>
          <w:rFonts w:cs="仿宋;宋体" w:hint="eastAsia"/>
          <w:bCs/>
          <w:color w:val="000000"/>
          <w:kern w:val="0"/>
          <w:sz w:val="32"/>
          <w:szCs w:val="32"/>
        </w:rPr>
        <w:t>突出本市特色优势和产业优势，提升中国国际投资贸易洽谈会以及其他品牌会展的专业化水平。</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cs="仿宋;宋体"/>
          <w:color w:val="000000"/>
          <w:kern w:val="0"/>
          <w:sz w:val="32"/>
          <w:szCs w:val="32"/>
        </w:rPr>
      </w:pPr>
      <w:r>
        <w:rPr>
          <w:rFonts w:ascii="黑体" w:hAnsi="黑体" w:cs="黑体" w:hint="eastAsia" w:eastAsia="黑体"/>
          <w:b w:val="false"/>
          <w:bCs w:val="false"/>
          <w:color w:val="000000"/>
        </w:rPr>
        <w:t>第十五条</w:t>
      </w:r>
      <w:r>
        <w:rPr>
          <w:rFonts w:eastAsia="黑体" w:cs="黑体" w:hint="eastAsia" w:ascii="黑体" w:hAnsi="黑体"/>
          <w:b w:val="false"/>
          <w:bCs w:val="false"/>
          <w:color w:val="000000"/>
        </w:rPr>
        <w:t>(</w:t>
      </w:r>
      <w:r>
        <w:rPr>
          <w:rFonts w:ascii="黑体" w:hAnsi="黑体" w:cs="黑体" w:hint="eastAsia" w:eastAsia="黑体"/>
          <w:b w:val="false"/>
          <w:bCs w:val="false"/>
          <w:color w:val="000000"/>
        </w:rPr>
        <w:t>产业融合</w:t>
      </w:r>
      <w:r>
        <w:rPr>
          <w:rFonts w:eastAsia="黑体" w:cs="黑体" w:hint="eastAsia" w:ascii="黑体" w:hAnsi="黑体"/>
          <w:b w:val="false"/>
          <w:bCs w:val="false"/>
          <w:color w:val="000000"/>
        </w:rPr>
        <w:t>)</w:t>
      </w:r>
      <w:r>
        <w:rPr>
          <w:rFonts w:cs="仿宋;宋体" w:hint="eastAsia"/>
          <w:bCs/>
          <w:color w:val="000000"/>
          <w:kern w:val="0"/>
          <w:sz w:val="32"/>
          <w:szCs w:val="32"/>
        </w:rPr>
        <w:t>市会展业主管部门会同有关部门</w:t>
      </w:r>
      <w:r>
        <w:rPr>
          <w:rFonts w:cs="仿宋;宋体" w:hint="eastAsia"/>
          <w:color w:val="000000"/>
          <w:kern w:val="0"/>
          <w:sz w:val="32"/>
          <w:szCs w:val="32"/>
        </w:rPr>
        <w:t>建立会展平台与优势产业联席会议制度，通过会展活动聚集研发设计、生产制造、市场拓展等环节中的高端产业资源，推动会展业与优势产业联动发展。</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cs="仿宋;宋体"/>
          <w:color w:val="000000"/>
          <w:kern w:val="0"/>
          <w:sz w:val="32"/>
          <w:szCs w:val="32"/>
        </w:rPr>
      </w:pPr>
      <w:r>
        <w:rPr>
          <w:rFonts w:cs="仿宋;宋体" w:hint="eastAsia"/>
          <w:color w:val="000000"/>
          <w:kern w:val="0"/>
          <w:sz w:val="32"/>
          <w:szCs w:val="32"/>
        </w:rPr>
        <w:t>招商单位利用中国国际投资贸易洽谈会、海峡两岸（厦门）文化产业博览交易会等专业会展平台进行投资环境和政策推介、开展资源和项目对接。</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cs="仿宋;宋体"/>
          <w:color w:val="000000"/>
          <w:kern w:val="0"/>
          <w:sz w:val="32"/>
          <w:szCs w:val="32"/>
        </w:rPr>
      </w:pPr>
      <w:r>
        <w:rPr>
          <w:rFonts w:cs="仿宋;宋体" w:hint="eastAsia"/>
          <w:color w:val="000000"/>
          <w:kern w:val="0"/>
          <w:sz w:val="32"/>
          <w:szCs w:val="32"/>
        </w:rPr>
        <w:t>相关行业组织可以整合资源，组织举办会展活动，推动产业发展、项目引进和培育。</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cs="仿宋;宋体"/>
          <w:b/>
          <w:bCs/>
          <w:color w:val="000000"/>
          <w:kern w:val="0"/>
          <w:sz w:val="32"/>
          <w:szCs w:val="32"/>
        </w:rPr>
      </w:pPr>
      <w:r>
        <w:rPr>
          <w:rFonts w:ascii="黑体" w:hAnsi="黑体" w:cs="黑体" w:hint="eastAsia" w:eastAsia="黑体"/>
          <w:b w:val="false"/>
          <w:bCs w:val="false"/>
          <w:color w:val="000000"/>
        </w:rPr>
        <w:t>第十六条</w:t>
      </w:r>
      <w:r>
        <w:rPr>
          <w:rFonts w:eastAsia="黑体" w:cs="黑体" w:hint="eastAsia" w:ascii="黑体" w:hAnsi="黑体"/>
          <w:b w:val="false"/>
          <w:bCs w:val="false"/>
          <w:color w:val="000000"/>
        </w:rPr>
        <w:t>(</w:t>
      </w:r>
      <w:r>
        <w:rPr>
          <w:rFonts w:ascii="黑体" w:hAnsi="黑体" w:cs="黑体" w:hint="eastAsia" w:eastAsia="黑体"/>
          <w:b w:val="false"/>
          <w:bCs w:val="false"/>
          <w:color w:val="000000"/>
        </w:rPr>
        <w:t>两岸交流</w:t>
      </w:r>
      <w:r>
        <w:rPr>
          <w:rFonts w:eastAsia="黑体" w:cs="黑体" w:hint="eastAsia" w:ascii="黑体" w:hAnsi="黑体"/>
          <w:b w:val="false"/>
          <w:bCs w:val="false"/>
          <w:color w:val="000000"/>
        </w:rPr>
        <w:t>)</w:t>
      </w:r>
      <w:r>
        <w:rPr>
          <w:rFonts w:cs="仿宋;宋体" w:hint="eastAsia"/>
          <w:color w:val="000000"/>
          <w:kern w:val="0"/>
          <w:sz w:val="32"/>
          <w:szCs w:val="32"/>
        </w:rPr>
        <w:t>发挥海峡论坛等重大涉台交流合作平台优势，积极推动两岸在商贸物流、文化旅游、金融服务、平板显示、计算机、软件信息、半导体与集成电路等领域开展行业交流合作。</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cs="仿宋;宋体"/>
          <w:color w:val="000000"/>
          <w:kern w:val="0"/>
          <w:sz w:val="32"/>
          <w:szCs w:val="32"/>
        </w:rPr>
      </w:pPr>
      <w:r>
        <w:rPr>
          <w:rFonts w:ascii="黑体" w:hAnsi="黑体" w:cs="黑体" w:hint="eastAsia" w:eastAsia="黑体"/>
          <w:b w:val="false"/>
          <w:bCs w:val="false"/>
          <w:color w:val="000000"/>
        </w:rPr>
        <w:t>第十七条</w:t>
      </w:r>
      <w:r>
        <w:rPr>
          <w:rFonts w:eastAsia="黑体" w:cs="黑体" w:hint="eastAsia" w:ascii="黑体" w:hAnsi="黑体"/>
          <w:b w:val="false"/>
          <w:bCs w:val="false"/>
          <w:color w:val="000000"/>
        </w:rPr>
        <w:t>(</w:t>
      </w:r>
      <w:r>
        <w:rPr>
          <w:rFonts w:ascii="黑体" w:hAnsi="黑体" w:cs="黑体" w:hint="eastAsia" w:eastAsia="黑体"/>
          <w:b w:val="false"/>
          <w:bCs w:val="false"/>
          <w:color w:val="000000"/>
        </w:rPr>
        <w:t>人才培养和引进</w:t>
      </w:r>
      <w:r>
        <w:rPr>
          <w:rFonts w:eastAsia="黑体" w:cs="黑体" w:hint="eastAsia" w:ascii="黑体" w:hAnsi="黑体"/>
          <w:b w:val="false"/>
          <w:bCs w:val="false"/>
          <w:color w:val="000000"/>
        </w:rPr>
        <w:t>)</w:t>
      </w:r>
      <w:r>
        <w:rPr>
          <w:rFonts w:cs="仿宋;宋体" w:hint="eastAsia"/>
          <w:color w:val="000000"/>
          <w:kern w:val="0"/>
          <w:sz w:val="32"/>
          <w:szCs w:val="32"/>
        </w:rPr>
        <w:t>支持高等院校、职业院校等结合会展业发展需求，设置会展业相关专业，与国内外知名会展院校进行交流合作，培养会展业专门人才。</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cs="仿宋;宋体"/>
          <w:color w:val="000000"/>
          <w:kern w:val="0"/>
          <w:sz w:val="32"/>
          <w:szCs w:val="32"/>
        </w:rPr>
      </w:pPr>
      <w:r>
        <w:rPr>
          <w:rFonts w:cs="仿宋;宋体" w:hint="eastAsia"/>
          <w:color w:val="000000"/>
          <w:kern w:val="0"/>
          <w:sz w:val="32"/>
          <w:szCs w:val="32"/>
        </w:rPr>
        <w:t>鼓励院校、职业培训机构、行业组织与举办单位、场馆单位和会展服务单位加强合作，设立会展培训和实训基地，培养符合市场需求的会展活动策划、设计等人才。</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cs="仿宋;宋体"/>
          <w:color w:val="000000"/>
          <w:kern w:val="0"/>
          <w:sz w:val="32"/>
          <w:szCs w:val="32"/>
        </w:rPr>
      </w:pPr>
      <w:r>
        <w:rPr>
          <w:rFonts w:cs="仿宋;宋体" w:hint="eastAsia"/>
          <w:color w:val="000000"/>
          <w:kern w:val="0"/>
          <w:sz w:val="32"/>
          <w:szCs w:val="32"/>
        </w:rPr>
        <w:t>符合条件的会展人才按照规定享受财税扶持、培养进修、社会保险、医疗服务、子女教育、住房租购、落户等方面的优惠政策措施。</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cs="仿宋;宋体"/>
          <w:color w:val="000000"/>
          <w:kern w:val="0"/>
          <w:sz w:val="32"/>
          <w:szCs w:val="32"/>
        </w:rPr>
      </w:pPr>
      <w:r>
        <w:rPr>
          <w:rFonts w:ascii="黑体" w:hAnsi="黑体" w:cs="黑体" w:hint="eastAsia" w:eastAsia="黑体"/>
          <w:b w:val="false"/>
          <w:bCs w:val="false"/>
          <w:color w:val="000000"/>
        </w:rPr>
        <w:t>第十八条</w:t>
      </w:r>
      <w:r>
        <w:rPr>
          <w:rFonts w:eastAsia="黑体" w:cs="黑体" w:hint="eastAsia" w:ascii="黑体" w:hAnsi="黑体"/>
          <w:b w:val="false"/>
          <w:bCs w:val="false"/>
          <w:color w:val="000000"/>
        </w:rPr>
        <w:t>(</w:t>
      </w:r>
      <w:r>
        <w:rPr>
          <w:rFonts w:ascii="黑体" w:hAnsi="黑体" w:cs="黑体" w:hint="eastAsia" w:eastAsia="黑体"/>
          <w:b w:val="false"/>
          <w:bCs w:val="false"/>
          <w:color w:val="000000"/>
        </w:rPr>
        <w:t>数字会展</w:t>
      </w:r>
      <w:r>
        <w:rPr>
          <w:rFonts w:eastAsia="黑体" w:cs="黑体" w:hint="eastAsia" w:ascii="黑体" w:hAnsi="黑体"/>
          <w:b w:val="false"/>
          <w:bCs w:val="false"/>
          <w:color w:val="000000"/>
        </w:rPr>
        <w:t>)</w:t>
      </w:r>
      <w:r>
        <w:rPr>
          <w:rFonts w:cs="仿宋;宋体" w:hint="eastAsia"/>
          <w:color w:val="000000"/>
          <w:kern w:val="0"/>
          <w:sz w:val="32"/>
          <w:szCs w:val="32"/>
        </w:rPr>
        <w:t>鼓励举办单位、场馆单位、会展服务单位和行业组织运用云计算、大数据、物联网、移动互联网、人工智能等现代信息技术，通过服务创新、管理创新、市场创新等，发展新兴会展业态。</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cs="仿宋;宋体"/>
          <w:color w:val="000000"/>
          <w:kern w:val="0"/>
          <w:sz w:val="32"/>
          <w:szCs w:val="32"/>
        </w:rPr>
      </w:pPr>
      <w:r>
        <w:rPr>
          <w:rFonts w:cs="仿宋;宋体" w:hint="eastAsia"/>
          <w:color w:val="000000"/>
          <w:kern w:val="0"/>
          <w:sz w:val="32"/>
          <w:szCs w:val="32"/>
        </w:rPr>
        <w:t>支持场馆单位推进智慧场馆建设，引入智能化场馆服务管理。</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cs="仿宋;宋体"/>
          <w:color w:val="000000"/>
          <w:kern w:val="0"/>
          <w:sz w:val="32"/>
          <w:szCs w:val="32"/>
        </w:rPr>
      </w:pPr>
      <w:r>
        <w:rPr>
          <w:rFonts w:ascii="黑体" w:hAnsi="黑体" w:cs="黑体" w:hint="eastAsia" w:eastAsia="黑体"/>
          <w:b w:val="false"/>
          <w:bCs w:val="false"/>
          <w:color w:val="000000"/>
        </w:rPr>
        <w:t>第十九条</w:t>
      </w:r>
      <w:r>
        <w:rPr>
          <w:rFonts w:eastAsia="黑体" w:cs="黑体" w:hint="eastAsia" w:ascii="黑体" w:hAnsi="黑体"/>
          <w:b w:val="false"/>
          <w:bCs w:val="false"/>
          <w:color w:val="000000"/>
        </w:rPr>
        <w:t>(</w:t>
      </w:r>
      <w:r>
        <w:rPr>
          <w:rFonts w:ascii="黑体" w:hAnsi="黑体" w:cs="黑体" w:hint="eastAsia" w:eastAsia="黑体"/>
          <w:b w:val="false"/>
          <w:bCs w:val="false"/>
          <w:color w:val="000000"/>
        </w:rPr>
        <w:t>绿色会展</w:t>
      </w:r>
      <w:r>
        <w:rPr>
          <w:rFonts w:eastAsia="黑体" w:cs="黑体" w:hint="eastAsia" w:ascii="黑体" w:hAnsi="黑体"/>
          <w:b w:val="false"/>
          <w:bCs w:val="false"/>
          <w:color w:val="000000"/>
        </w:rPr>
        <w:t>)</w:t>
      </w:r>
      <w:r>
        <w:rPr>
          <w:rFonts w:cs="仿宋;宋体" w:hint="eastAsia"/>
          <w:bCs/>
          <w:color w:val="000000"/>
          <w:kern w:val="0"/>
          <w:sz w:val="32"/>
          <w:szCs w:val="32"/>
        </w:rPr>
        <w:t>发展绿色会展</w:t>
      </w:r>
      <w:r>
        <w:rPr>
          <w:rFonts w:cs="仿宋;宋体" w:hint="eastAsia"/>
          <w:color w:val="000000"/>
          <w:kern w:val="0"/>
          <w:sz w:val="32"/>
          <w:szCs w:val="32"/>
        </w:rPr>
        <w:t>，推动会展场馆在设计、建设、使用等方面应用环保节能技术。在会展活动中推广应用各种节能降耗的器材设备和低碳技术，采用可循环再生材料。</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cs="仿宋;宋体"/>
          <w:color w:val="000000"/>
          <w:kern w:val="0"/>
          <w:sz w:val="32"/>
          <w:szCs w:val="32"/>
        </w:rPr>
      </w:pPr>
      <w:r>
        <w:rPr>
          <w:rFonts w:ascii="黑体" w:hAnsi="黑体" w:cs="黑体" w:hint="eastAsia" w:eastAsia="黑体"/>
          <w:b w:val="false"/>
          <w:bCs w:val="false"/>
          <w:color w:val="000000"/>
        </w:rPr>
        <w:t>第二十条</w:t>
      </w:r>
      <w:r>
        <w:rPr>
          <w:rFonts w:eastAsia="黑体" w:cs="黑体" w:hint="eastAsia" w:ascii="黑体" w:hAnsi="黑体"/>
          <w:b w:val="false"/>
          <w:bCs w:val="false"/>
          <w:color w:val="000000"/>
        </w:rPr>
        <w:t>(</w:t>
      </w:r>
      <w:r>
        <w:rPr>
          <w:rFonts w:ascii="黑体" w:hAnsi="黑体" w:cs="黑体" w:hint="eastAsia" w:eastAsia="黑体"/>
          <w:b w:val="false"/>
          <w:bCs w:val="false"/>
          <w:color w:val="000000"/>
        </w:rPr>
        <w:t>会展数据</w:t>
      </w:r>
      <w:r>
        <w:rPr>
          <w:rFonts w:eastAsia="黑体" w:cs="黑体" w:hint="eastAsia" w:ascii="黑体" w:hAnsi="黑体"/>
          <w:b w:val="false"/>
          <w:bCs w:val="false"/>
          <w:color w:val="000000"/>
        </w:rPr>
        <w:t>)</w:t>
      </w:r>
      <w:r>
        <w:rPr>
          <w:rFonts w:cs="仿宋;宋体" w:hint="eastAsia"/>
          <w:color w:val="000000"/>
          <w:kern w:val="0"/>
          <w:sz w:val="32"/>
          <w:szCs w:val="32"/>
        </w:rPr>
        <w:t>市会展业主管部门建立会展业数据信息库，开展大数据分析，对会展业发展情况进行监测和评估。</w:t>
      </w:r>
    </w:p>
    <w:p>
      <w:pPr>
        <w:pStyle w:val="Normal"/>
        <w:keepNext w:val="false"/>
        <w:keepLines w:val="false"/>
        <w:pageBreakBefore w:val="false"/>
        <w:widowControl w:val="false"/>
        <w:kinsoku w:val="true"/>
        <w:overflowPunct w:val="true"/>
        <w:autoSpaceDE w:val="true"/>
        <w:bidi w:val="0"/>
        <w:snapToGrid w:val="true"/>
        <w:spacing w:lineRule="exact" w:line="600" w:before="321" w:after="321"/>
        <w:jc w:val="center"/>
        <w:textAlignment w:val="auto"/>
        <w:rPr>
          <w:rFonts w:ascii="黑体" w:hAnsi="黑体" w:eastAsia="黑体" w:cs="黑体"/>
          <w:color w:val="000000"/>
          <w:kern w:val="0"/>
          <w:sz w:val="32"/>
          <w:szCs w:val="32"/>
        </w:rPr>
      </w:pPr>
      <w:r>
        <w:rPr>
          <w:rFonts w:ascii="黑体" w:hAnsi="黑体" w:cs="黑体" w:hint="eastAsia" w:eastAsia="黑体"/>
          <w:color w:val="000000"/>
          <w:kern w:val="0"/>
          <w:sz w:val="32"/>
          <w:szCs w:val="32"/>
        </w:rPr>
        <w:t>第三章  服务和保障</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cs="仿宋;宋体"/>
          <w:color w:val="000000"/>
          <w:kern w:val="0"/>
          <w:sz w:val="32"/>
          <w:szCs w:val="32"/>
        </w:rPr>
      </w:pPr>
      <w:bookmarkStart w:id="0" w:name="_Hlk39042373"/>
      <w:r>
        <w:rPr>
          <w:rFonts w:ascii="黑体" w:hAnsi="黑体" w:cs="黑体" w:hint="eastAsia" w:eastAsia="黑体"/>
          <w:b w:val="false"/>
          <w:bCs w:val="false"/>
          <w:color w:val="000000"/>
        </w:rPr>
        <w:t>第二十一条</w:t>
      </w:r>
      <w:r>
        <w:rPr>
          <w:rFonts w:eastAsia="黑体" w:cs="黑体" w:hint="eastAsia" w:ascii="黑体" w:hAnsi="黑体"/>
          <w:b w:val="false"/>
          <w:bCs w:val="false"/>
          <w:color w:val="000000"/>
        </w:rPr>
        <w:t>(</w:t>
      </w:r>
      <w:r>
        <w:rPr>
          <w:rFonts w:ascii="黑体" w:hAnsi="黑体" w:cs="黑体" w:hint="eastAsia" w:eastAsia="黑体"/>
          <w:b w:val="false"/>
          <w:bCs w:val="false"/>
          <w:color w:val="000000"/>
        </w:rPr>
        <w:t>备案服务</w:t>
      </w:r>
      <w:r>
        <w:rPr>
          <w:rFonts w:eastAsia="黑体" w:cs="黑体" w:hint="eastAsia" w:ascii="黑体" w:hAnsi="黑体"/>
          <w:b w:val="false"/>
          <w:bCs w:val="false"/>
          <w:color w:val="000000"/>
        </w:rPr>
        <w:t>)</w:t>
      </w:r>
      <w:r>
        <w:rPr>
          <w:rFonts w:cs="仿宋;宋体" w:hint="eastAsia"/>
          <w:color w:val="000000"/>
          <w:kern w:val="0"/>
          <w:sz w:val="32"/>
          <w:szCs w:val="32"/>
        </w:rPr>
        <w:t>举办单位在会展活动举办前将会展活动名称、时间、地点、规模等信息向市会展业主管部门备案的，市会展业主管部门按照规定给予补助。</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cs="仿宋;宋体"/>
          <w:color w:val="000000"/>
          <w:kern w:val="0"/>
          <w:sz w:val="32"/>
          <w:szCs w:val="32"/>
        </w:rPr>
      </w:pPr>
      <w:r>
        <w:rPr>
          <w:rFonts w:cs="仿宋;宋体" w:hint="eastAsia"/>
          <w:color w:val="000000"/>
          <w:kern w:val="0"/>
          <w:sz w:val="32"/>
          <w:szCs w:val="32"/>
        </w:rPr>
        <w:t>需要冠以中国、中华、全国、国家等字样的会展活动以及涉外会展活动，举办单位应当按照国家有关规定办理审批或者备案手续，市会展业主管部门应当予以协助。</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cs="仿宋;宋体"/>
          <w:color w:val="000000"/>
          <w:kern w:val="0"/>
          <w:sz w:val="32"/>
          <w:szCs w:val="32"/>
        </w:rPr>
      </w:pPr>
      <w:bookmarkEnd w:id="0"/>
      <w:r>
        <w:rPr>
          <w:rFonts w:ascii="黑体" w:hAnsi="黑体" w:cs="黑体" w:hint="eastAsia" w:eastAsia="黑体"/>
          <w:b w:val="false"/>
          <w:bCs w:val="false"/>
          <w:color w:val="000000"/>
        </w:rPr>
        <w:t>第二十二条</w:t>
      </w:r>
      <w:bookmarkStart w:id="1" w:name="_Hlk38868960"/>
      <w:r>
        <w:rPr>
          <w:rFonts w:eastAsia="黑体" w:cs="黑体" w:hint="eastAsia" w:ascii="黑体" w:hAnsi="黑体"/>
          <w:b w:val="false"/>
          <w:bCs w:val="false"/>
          <w:color w:val="000000"/>
        </w:rPr>
        <w:t>(</w:t>
      </w:r>
      <w:r>
        <w:rPr>
          <w:rFonts w:ascii="黑体" w:hAnsi="黑体" w:cs="黑体" w:hint="eastAsia" w:eastAsia="黑体"/>
          <w:b w:val="false"/>
          <w:bCs w:val="false"/>
          <w:color w:val="000000"/>
        </w:rPr>
        <w:t>优化服务</w:t>
      </w:r>
      <w:r>
        <w:rPr>
          <w:rFonts w:eastAsia="黑体" w:cs="黑体" w:hint="eastAsia" w:ascii="黑体" w:hAnsi="黑体"/>
          <w:b w:val="false"/>
          <w:bCs w:val="false"/>
          <w:color w:val="000000"/>
        </w:rPr>
        <w:t>)</w:t>
      </w:r>
      <w:r>
        <w:rPr>
          <w:rFonts w:cs="仿宋;宋体" w:hint="eastAsia"/>
          <w:color w:val="000000"/>
          <w:kern w:val="0"/>
          <w:sz w:val="32"/>
          <w:szCs w:val="32"/>
        </w:rPr>
        <w:t>市会展业主管部门应当会同公安、建设、市场监管、市政园林、消防救援等有关部门加强业务协同办理，优化政务服务流程，推动信息共享。</w:t>
      </w:r>
      <w:bookmarkEnd w:id="1"/>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cs="仿宋;宋体"/>
          <w:color w:val="000000"/>
          <w:kern w:val="0"/>
          <w:sz w:val="32"/>
          <w:szCs w:val="32"/>
        </w:rPr>
      </w:pPr>
      <w:r>
        <w:rPr>
          <w:rFonts w:cs="仿宋;宋体" w:hint="eastAsia"/>
          <w:color w:val="000000"/>
          <w:kern w:val="0"/>
          <w:sz w:val="32"/>
          <w:szCs w:val="32"/>
        </w:rPr>
        <w:t>会展活动面向社会公众且每场次预计参加人数一千人以上，应当按照规定申请安全许可的，公安机关组织有关部门进行联合审议，并及时通报有关安全许可申请和审批情况。</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cs="仿宋;宋体"/>
          <w:bCs/>
          <w:color w:val="000000"/>
          <w:kern w:val="0"/>
          <w:sz w:val="32"/>
          <w:szCs w:val="32"/>
        </w:rPr>
      </w:pPr>
      <w:r>
        <w:rPr>
          <w:rFonts w:ascii="黑体" w:hAnsi="黑体" w:cs="黑体" w:hint="eastAsia" w:eastAsia="黑体"/>
          <w:b w:val="false"/>
          <w:bCs w:val="false"/>
          <w:color w:val="000000"/>
        </w:rPr>
        <w:t>第二十三条</w:t>
      </w:r>
      <w:r>
        <w:rPr>
          <w:rFonts w:eastAsia="黑体" w:cs="黑体" w:hint="eastAsia" w:ascii="黑体" w:hAnsi="黑体"/>
          <w:b w:val="false"/>
          <w:bCs w:val="false"/>
          <w:color w:val="000000"/>
        </w:rPr>
        <w:t>(</w:t>
      </w:r>
      <w:r>
        <w:rPr>
          <w:rFonts w:ascii="黑体" w:hAnsi="黑体" w:cs="黑体" w:hint="eastAsia" w:eastAsia="黑体"/>
          <w:b w:val="false"/>
          <w:bCs w:val="false"/>
          <w:color w:val="000000"/>
        </w:rPr>
        <w:t>通关便利</w:t>
      </w:r>
      <w:r>
        <w:rPr>
          <w:rFonts w:eastAsia="黑体" w:cs="黑体" w:hint="eastAsia" w:ascii="黑体" w:hAnsi="黑体"/>
          <w:b w:val="false"/>
          <w:bCs w:val="false"/>
          <w:color w:val="000000"/>
        </w:rPr>
        <w:t>)</w:t>
      </w:r>
      <w:r>
        <w:rPr>
          <w:rFonts w:cs="仿宋;宋体" w:hint="eastAsia"/>
          <w:bCs/>
          <w:color w:val="000000"/>
          <w:kern w:val="0"/>
          <w:sz w:val="32"/>
          <w:szCs w:val="32"/>
        </w:rPr>
        <w:t>市会展业主管部门应当协助有关部门优化会展活动展品的通关手续和监管流程。在口岸设置绿色通道，提高通关效率，便利展品展后处置。</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cs="仿宋;宋体"/>
          <w:bCs/>
          <w:color w:val="000000"/>
          <w:kern w:val="0"/>
          <w:sz w:val="32"/>
          <w:szCs w:val="32"/>
        </w:rPr>
      </w:pPr>
      <w:r>
        <w:rPr>
          <w:rFonts w:cs="仿宋;宋体" w:hint="eastAsia"/>
          <w:bCs/>
          <w:color w:val="000000"/>
          <w:kern w:val="0"/>
          <w:sz w:val="32"/>
          <w:szCs w:val="32"/>
        </w:rPr>
        <w:t>出入境管理部门应当按照规定为会展活动相关人员提供出入境便利。</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cs="仿宋;宋体"/>
          <w:bCs/>
          <w:color w:val="000000"/>
          <w:kern w:val="0"/>
          <w:sz w:val="32"/>
          <w:szCs w:val="32"/>
        </w:rPr>
      </w:pPr>
      <w:r>
        <w:rPr>
          <w:rFonts w:ascii="黑体" w:hAnsi="黑体" w:cs="黑体" w:hint="eastAsia" w:eastAsia="黑体"/>
          <w:b w:val="false"/>
          <w:bCs w:val="false"/>
          <w:color w:val="000000"/>
        </w:rPr>
        <w:t>第二十四条</w:t>
      </w:r>
      <w:r>
        <w:rPr>
          <w:rFonts w:eastAsia="黑体" w:cs="黑体" w:hint="eastAsia" w:ascii="黑体" w:hAnsi="黑体"/>
          <w:b w:val="false"/>
          <w:bCs w:val="false"/>
          <w:color w:val="000000"/>
        </w:rPr>
        <w:t>(</w:t>
      </w:r>
      <w:r>
        <w:rPr>
          <w:rFonts w:ascii="黑体" w:hAnsi="黑体" w:cs="黑体" w:hint="eastAsia" w:eastAsia="黑体"/>
          <w:b w:val="false"/>
          <w:bCs w:val="false"/>
          <w:color w:val="000000"/>
        </w:rPr>
        <w:t>临时停车泊位</w:t>
      </w:r>
      <w:r>
        <w:rPr>
          <w:rFonts w:eastAsia="黑体" w:cs="黑体" w:hint="eastAsia" w:ascii="黑体" w:hAnsi="黑体"/>
          <w:b w:val="false"/>
          <w:bCs w:val="false"/>
          <w:color w:val="000000"/>
        </w:rPr>
        <w:t>)</w:t>
      </w:r>
      <w:r>
        <w:rPr>
          <w:rFonts w:cs="仿宋;宋体" w:hint="eastAsia"/>
          <w:color w:val="000000"/>
          <w:kern w:val="0"/>
          <w:sz w:val="32"/>
          <w:szCs w:val="32"/>
        </w:rPr>
        <w:t>会展活动期间，场馆配套停车泊位不足时，公安机关交通管理部门应当根据举办单位的需求在会展场馆周边合理设置临时停车泊位。</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cs="仿宋;宋体"/>
          <w:color w:val="000000"/>
          <w:kern w:val="0"/>
          <w:sz w:val="32"/>
          <w:szCs w:val="32"/>
        </w:rPr>
      </w:pPr>
      <w:r>
        <w:rPr>
          <w:rFonts w:ascii="黑体" w:hAnsi="黑体" w:cs="黑体" w:hint="eastAsia" w:eastAsia="黑体"/>
          <w:b w:val="false"/>
          <w:bCs w:val="false"/>
          <w:color w:val="000000"/>
        </w:rPr>
        <w:t>第二十五条</w:t>
      </w:r>
      <w:r>
        <w:rPr>
          <w:rFonts w:eastAsia="黑体" w:cs="黑体" w:hint="eastAsia" w:ascii="黑体" w:hAnsi="黑体"/>
          <w:b w:val="false"/>
          <w:bCs w:val="false"/>
          <w:color w:val="000000"/>
        </w:rPr>
        <w:t>(</w:t>
      </w:r>
      <w:r>
        <w:rPr>
          <w:rFonts w:ascii="黑体" w:hAnsi="黑体" w:cs="黑体" w:hint="eastAsia" w:eastAsia="黑体"/>
          <w:b w:val="false"/>
          <w:bCs w:val="false"/>
          <w:color w:val="000000"/>
        </w:rPr>
        <w:t>重大会展活动综合保障</w:t>
      </w:r>
      <w:r>
        <w:rPr>
          <w:rFonts w:eastAsia="黑体" w:cs="黑体" w:hint="eastAsia" w:ascii="黑体" w:hAnsi="黑体"/>
          <w:b w:val="false"/>
          <w:bCs w:val="false"/>
          <w:color w:val="000000"/>
        </w:rPr>
        <w:t>)</w:t>
      </w:r>
      <w:r>
        <w:rPr>
          <w:rFonts w:cs="仿宋;宋体" w:hint="eastAsia"/>
          <w:color w:val="000000"/>
          <w:kern w:val="0"/>
          <w:sz w:val="32"/>
          <w:szCs w:val="32"/>
        </w:rPr>
        <w:t>市人民政府应当建立重大会展活动综合保障机制，协调商务、公安、卫健、应急、消防救援、城市管理行政执法、市场监管、交通、文旅等有关部门开展安全管理、服务保障、应急救援等工作，保障会展活动正常进行。</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cs="仿宋;宋体"/>
          <w:color w:val="000000"/>
          <w:kern w:val="0"/>
          <w:sz w:val="32"/>
          <w:szCs w:val="32"/>
        </w:rPr>
      </w:pPr>
      <w:r>
        <w:rPr>
          <w:rFonts w:cs="仿宋;宋体" w:hint="eastAsia"/>
          <w:color w:val="000000"/>
          <w:kern w:val="0"/>
          <w:sz w:val="32"/>
          <w:szCs w:val="32"/>
        </w:rPr>
        <w:t>有下列情形之一的，举办单位可以向市会展业主管部门申请重大会展活动综合保障，市会展业主管部门认为有必要的，应当向市人民政府提请启动综合保障工作：</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cs="仿宋;宋体"/>
          <w:color w:val="000000"/>
          <w:kern w:val="0"/>
          <w:sz w:val="32"/>
          <w:szCs w:val="32"/>
        </w:rPr>
      </w:pPr>
      <w:r>
        <w:rPr>
          <w:rFonts w:cs="仿宋;宋体" w:hint="eastAsia"/>
          <w:color w:val="000000"/>
          <w:kern w:val="0"/>
          <w:sz w:val="32"/>
          <w:szCs w:val="32"/>
        </w:rPr>
        <w:t>㈠展览面积达五万平方米以上的会展活动；</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cs="仿宋;宋体"/>
          <w:color w:val="000000"/>
          <w:kern w:val="0"/>
          <w:sz w:val="32"/>
          <w:szCs w:val="32"/>
        </w:rPr>
      </w:pPr>
      <w:r>
        <w:rPr>
          <w:rFonts w:cs="仿宋;宋体" w:hint="eastAsia"/>
          <w:color w:val="000000"/>
          <w:kern w:val="0"/>
          <w:sz w:val="32"/>
          <w:szCs w:val="32"/>
        </w:rPr>
        <w:t>㈡国际性、国家级、专业类高端会展活动。</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cs="仿宋;宋体"/>
          <w:color w:val="000000"/>
          <w:kern w:val="0"/>
          <w:sz w:val="32"/>
          <w:szCs w:val="32"/>
        </w:rPr>
      </w:pPr>
      <w:r>
        <w:rPr>
          <w:rFonts w:cs="仿宋;宋体" w:hint="eastAsia"/>
          <w:color w:val="000000"/>
          <w:kern w:val="0"/>
          <w:sz w:val="32"/>
          <w:szCs w:val="32"/>
        </w:rPr>
        <w:t>商务、公安、卫健、市场监管等有关部门根据需要派员进驻会展场馆，提供服务，加强监管，接受并处理投诉。</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cs="仿宋;宋体"/>
          <w:color w:val="000000"/>
          <w:kern w:val="0"/>
          <w:sz w:val="32"/>
          <w:szCs w:val="32"/>
        </w:rPr>
      </w:pPr>
      <w:r>
        <w:rPr>
          <w:rFonts w:ascii="黑体" w:hAnsi="黑体" w:cs="黑体" w:hint="eastAsia" w:eastAsia="黑体"/>
          <w:b w:val="false"/>
          <w:bCs w:val="false"/>
          <w:color w:val="000000"/>
        </w:rPr>
        <w:t>第二十六条</w:t>
      </w:r>
      <w:r>
        <w:rPr>
          <w:rFonts w:eastAsia="黑体" w:cs="黑体" w:hint="eastAsia" w:ascii="黑体" w:hAnsi="黑体"/>
          <w:b w:val="false"/>
          <w:bCs w:val="false"/>
          <w:color w:val="000000"/>
        </w:rPr>
        <w:t>(</w:t>
      </w:r>
      <w:r>
        <w:rPr>
          <w:rFonts w:ascii="黑体" w:hAnsi="黑体" w:cs="黑体" w:hint="eastAsia" w:eastAsia="黑体"/>
          <w:b w:val="false"/>
          <w:bCs w:val="false"/>
          <w:color w:val="000000"/>
        </w:rPr>
        <w:t>突发事件应对机制</w:t>
      </w:r>
      <w:r>
        <w:rPr>
          <w:rFonts w:eastAsia="黑体" w:cs="黑体" w:hint="eastAsia" w:ascii="黑体" w:hAnsi="黑体"/>
          <w:b w:val="false"/>
          <w:bCs w:val="false"/>
          <w:color w:val="000000"/>
        </w:rPr>
        <w:t>)</w:t>
      </w:r>
      <w:r>
        <w:rPr>
          <w:rFonts w:cs="仿宋;宋体" w:hint="eastAsia"/>
          <w:color w:val="000000"/>
          <w:kern w:val="0"/>
          <w:sz w:val="32"/>
          <w:szCs w:val="32"/>
        </w:rPr>
        <w:t>市人民政府及其有关部门应当建立会展活动突发事件应对机制，及时处置突发事件。</w:t>
      </w:r>
    </w:p>
    <w:p>
      <w:pPr>
        <w:pStyle w:val="Normal"/>
        <w:keepNext w:val="false"/>
        <w:keepLines w:val="false"/>
        <w:pageBreakBefore w:val="false"/>
        <w:widowControl w:val="false"/>
        <w:kinsoku w:val="true"/>
        <w:overflowPunct w:val="true"/>
        <w:autoSpaceDE w:val="true"/>
        <w:bidi w:val="0"/>
        <w:snapToGrid w:val="true"/>
        <w:spacing w:lineRule="exact" w:line="600" w:before="321" w:after="321"/>
        <w:jc w:val="center"/>
        <w:textAlignment w:val="auto"/>
        <w:rPr>
          <w:rFonts w:ascii="黑体" w:hAnsi="黑体" w:eastAsia="黑体" w:cs="黑体"/>
          <w:color w:val="000000"/>
          <w:kern w:val="0"/>
          <w:sz w:val="32"/>
          <w:szCs w:val="32"/>
        </w:rPr>
      </w:pPr>
      <w:r>
        <w:rPr>
          <w:rFonts w:ascii="黑体" w:hAnsi="黑体" w:cs="黑体" w:hint="eastAsia" w:eastAsia="黑体"/>
          <w:color w:val="000000"/>
          <w:kern w:val="0"/>
          <w:sz w:val="32"/>
          <w:szCs w:val="32"/>
        </w:rPr>
        <w:t>第四章  规范和管理</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cs="仿宋;宋体"/>
          <w:color w:val="000000"/>
          <w:kern w:val="0"/>
          <w:sz w:val="32"/>
          <w:szCs w:val="32"/>
        </w:rPr>
      </w:pPr>
      <w:r>
        <w:rPr>
          <w:rFonts w:ascii="黑体" w:hAnsi="黑体" w:cs="黑体" w:hint="eastAsia" w:eastAsia="黑体"/>
          <w:b w:val="false"/>
          <w:bCs w:val="false"/>
          <w:color w:val="000000"/>
        </w:rPr>
        <w:t>第二十七条</w:t>
      </w:r>
      <w:r>
        <w:rPr>
          <w:rFonts w:eastAsia="黑体" w:cs="黑体" w:hint="eastAsia" w:ascii="黑体" w:hAnsi="黑体"/>
          <w:b w:val="false"/>
          <w:bCs w:val="false"/>
          <w:color w:val="000000"/>
        </w:rPr>
        <w:t>(</w:t>
      </w:r>
      <w:r>
        <w:rPr>
          <w:rFonts w:ascii="黑体" w:hAnsi="黑体" w:cs="黑体" w:hint="eastAsia" w:eastAsia="黑体"/>
          <w:b w:val="false"/>
          <w:bCs w:val="false"/>
          <w:color w:val="000000"/>
        </w:rPr>
        <w:t>会展信息发布</w:t>
      </w:r>
      <w:r>
        <w:rPr>
          <w:rFonts w:eastAsia="黑体" w:cs="黑体" w:hint="eastAsia" w:ascii="黑体" w:hAnsi="黑体"/>
          <w:b w:val="false"/>
          <w:bCs w:val="false"/>
          <w:color w:val="000000"/>
        </w:rPr>
        <w:t>)</w:t>
      </w:r>
      <w:r>
        <w:rPr>
          <w:rFonts w:cs="仿宋;宋体" w:hint="eastAsia"/>
          <w:color w:val="000000"/>
          <w:kern w:val="0"/>
          <w:sz w:val="32"/>
          <w:szCs w:val="32"/>
        </w:rPr>
        <w:t>举办单位发布会展信息和宣传广告应当客观、准确、真实，会展活动及其内容应当与发布的信息相一致。</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cs="仿宋;宋体"/>
          <w:color w:val="000000"/>
          <w:kern w:val="0"/>
          <w:sz w:val="32"/>
          <w:szCs w:val="32"/>
        </w:rPr>
      </w:pPr>
      <w:r>
        <w:rPr>
          <w:rFonts w:cs="仿宋;宋体" w:hint="eastAsia"/>
          <w:color w:val="000000"/>
          <w:kern w:val="0"/>
          <w:sz w:val="32"/>
          <w:szCs w:val="32"/>
        </w:rPr>
        <w:t>会展信息发布后，举办单位变更会展活动名称、时间、地点、规模等事项或者取消会展活动的，应当及时告知相关单位和个人，并按照合同约定妥善处理有关事宜。</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cs="仿宋;宋体"/>
          <w:b/>
          <w:bCs/>
          <w:color w:val="000000"/>
          <w:kern w:val="0"/>
          <w:sz w:val="32"/>
          <w:szCs w:val="32"/>
        </w:rPr>
      </w:pPr>
      <w:r>
        <w:rPr>
          <w:rFonts w:cs="仿宋;宋体" w:hint="eastAsia"/>
          <w:color w:val="000000"/>
          <w:kern w:val="0"/>
          <w:sz w:val="32"/>
          <w:szCs w:val="32"/>
        </w:rPr>
        <w:t>鼓励举办单位、场馆单位在会展活动结束后向市会展业主管部门提供会展活动名称、时间、地点、规模等信息。</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cs="仿宋;宋体"/>
          <w:color w:val="000000"/>
          <w:kern w:val="0"/>
          <w:sz w:val="32"/>
          <w:szCs w:val="32"/>
        </w:rPr>
      </w:pPr>
      <w:r>
        <w:rPr>
          <w:rFonts w:ascii="黑体" w:hAnsi="黑体" w:cs="黑体" w:hint="eastAsia" w:eastAsia="黑体"/>
          <w:b w:val="false"/>
          <w:bCs w:val="false"/>
          <w:color w:val="000000"/>
        </w:rPr>
        <w:t>第二十八条</w:t>
      </w:r>
      <w:r>
        <w:rPr>
          <w:rFonts w:eastAsia="黑体" w:cs="黑体" w:hint="eastAsia" w:ascii="黑体" w:hAnsi="黑体"/>
          <w:b w:val="false"/>
          <w:bCs w:val="false"/>
          <w:color w:val="000000"/>
        </w:rPr>
        <w:t>(</w:t>
      </w:r>
      <w:r>
        <w:rPr>
          <w:rFonts w:ascii="黑体" w:hAnsi="黑体" w:cs="黑体" w:hint="eastAsia" w:eastAsia="黑体"/>
          <w:b w:val="false"/>
          <w:bCs w:val="false"/>
          <w:color w:val="000000"/>
        </w:rPr>
        <w:t>会展场馆</w:t>
      </w:r>
      <w:r>
        <w:rPr>
          <w:rFonts w:eastAsia="黑体" w:cs="黑体" w:hint="eastAsia" w:ascii="黑体" w:hAnsi="黑体"/>
          <w:b w:val="false"/>
          <w:bCs w:val="false"/>
          <w:color w:val="000000"/>
        </w:rPr>
        <w:t>)</w:t>
      </w:r>
      <w:r>
        <w:rPr>
          <w:rFonts w:cs="仿宋;宋体" w:hint="eastAsia"/>
          <w:color w:val="000000"/>
          <w:kern w:val="0"/>
          <w:sz w:val="32"/>
          <w:szCs w:val="32"/>
        </w:rPr>
        <w:t>会展场馆应当符合安全、消防、卫生、环保要求，配备监控、报警安全检查系统，在显著位置设置安全警示和引导标识。</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cs="仿宋;宋体"/>
          <w:color w:val="000000"/>
          <w:kern w:val="0"/>
          <w:sz w:val="32"/>
          <w:szCs w:val="32"/>
        </w:rPr>
      </w:pPr>
      <w:r>
        <w:rPr>
          <w:rFonts w:cs="仿宋;宋体" w:hint="eastAsia"/>
          <w:color w:val="000000"/>
          <w:kern w:val="0"/>
          <w:sz w:val="32"/>
          <w:szCs w:val="32"/>
        </w:rPr>
        <w:t>场馆单位应当定期维护会展场馆及其设施。</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cs="仿宋;宋体"/>
          <w:color w:val="000000"/>
          <w:kern w:val="0"/>
          <w:sz w:val="32"/>
          <w:szCs w:val="32"/>
        </w:rPr>
      </w:pPr>
      <w:r>
        <w:rPr>
          <w:rFonts w:ascii="黑体" w:hAnsi="黑体" w:cs="黑体" w:hint="eastAsia" w:eastAsia="黑体"/>
          <w:b w:val="false"/>
          <w:bCs w:val="false"/>
          <w:color w:val="000000"/>
        </w:rPr>
        <w:t>第二十九条</w:t>
      </w:r>
      <w:r>
        <w:rPr>
          <w:rFonts w:eastAsia="黑体" w:cs="黑体" w:hint="eastAsia" w:ascii="黑体" w:hAnsi="黑体"/>
          <w:b w:val="false"/>
          <w:bCs w:val="false"/>
          <w:color w:val="000000"/>
        </w:rPr>
        <w:t>(</w:t>
      </w:r>
      <w:r>
        <w:rPr>
          <w:rFonts w:ascii="黑体" w:hAnsi="黑体" w:cs="黑体" w:hint="eastAsia" w:eastAsia="黑体"/>
          <w:b w:val="false"/>
          <w:bCs w:val="false"/>
          <w:color w:val="000000"/>
        </w:rPr>
        <w:t>活动安全</w:t>
      </w:r>
      <w:r>
        <w:rPr>
          <w:rFonts w:eastAsia="黑体" w:cs="黑体" w:hint="eastAsia" w:ascii="黑体" w:hAnsi="黑体"/>
          <w:b w:val="false"/>
          <w:bCs w:val="false"/>
          <w:color w:val="000000"/>
        </w:rPr>
        <w:t>)</w:t>
      </w:r>
      <w:r>
        <w:rPr>
          <w:rFonts w:cs="仿宋;宋体" w:hint="eastAsia"/>
          <w:color w:val="000000"/>
          <w:kern w:val="0"/>
          <w:sz w:val="32"/>
          <w:szCs w:val="32"/>
        </w:rPr>
        <w:t>举办单位按照谁承办、谁负责的原则承担安全主体责任，制定安全工作方案和应急预案。</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cs="仿宋;宋体"/>
          <w:color w:val="000000"/>
          <w:kern w:val="0"/>
          <w:sz w:val="32"/>
          <w:szCs w:val="32"/>
        </w:rPr>
      </w:pPr>
      <w:r>
        <w:rPr>
          <w:rFonts w:cs="仿宋;宋体" w:hint="eastAsia"/>
          <w:color w:val="000000"/>
          <w:kern w:val="0"/>
          <w:sz w:val="32"/>
          <w:szCs w:val="32"/>
        </w:rPr>
        <w:t>举办单位应当与场馆单位签订安全协议，明确双方的安全责任和义务。</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cs="仿宋;宋体"/>
          <w:color w:val="000000"/>
          <w:kern w:val="0"/>
          <w:sz w:val="32"/>
          <w:szCs w:val="32"/>
        </w:rPr>
      </w:pPr>
      <w:r>
        <w:rPr>
          <w:rFonts w:cs="仿宋;宋体" w:hint="eastAsia"/>
          <w:color w:val="000000"/>
          <w:kern w:val="0"/>
          <w:sz w:val="32"/>
          <w:szCs w:val="32"/>
        </w:rPr>
        <w:t>举办单位、参展单位和会展服务单位应当按照安全、消防、卫生、环保要求布置会展活动现场。搭建会展活动临时设施或者对展位作特殊装饰的，应当委托具有相应资质的单位设计、施工，必要时可以聘请专业机构进行检验、检测，并遵守相关技术规范标准和安全管理规定。</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cs="仿宋;宋体"/>
          <w:color w:val="000000"/>
          <w:kern w:val="0"/>
          <w:sz w:val="32"/>
          <w:szCs w:val="32"/>
        </w:rPr>
      </w:pPr>
      <w:r>
        <w:rPr>
          <w:rFonts w:ascii="黑体" w:hAnsi="黑体" w:cs="黑体" w:hint="eastAsia" w:eastAsia="黑体"/>
          <w:b w:val="false"/>
          <w:bCs w:val="false"/>
          <w:color w:val="000000"/>
        </w:rPr>
        <w:t>第三十条</w:t>
      </w:r>
      <w:r>
        <w:rPr>
          <w:rFonts w:eastAsia="黑体" w:cs="黑体" w:hint="eastAsia" w:ascii="黑体" w:hAnsi="黑体"/>
          <w:b w:val="false"/>
          <w:bCs w:val="false"/>
          <w:color w:val="000000"/>
        </w:rPr>
        <w:t>(</w:t>
      </w:r>
      <w:r>
        <w:rPr>
          <w:rFonts w:ascii="黑体" w:hAnsi="黑体" w:cs="黑体" w:hint="eastAsia" w:eastAsia="黑体"/>
          <w:b w:val="false"/>
          <w:bCs w:val="false"/>
          <w:color w:val="000000"/>
        </w:rPr>
        <w:t>应急处置</w:t>
      </w:r>
      <w:r>
        <w:rPr>
          <w:rFonts w:eastAsia="黑体" w:cs="黑体" w:hint="eastAsia" w:ascii="黑体" w:hAnsi="黑体"/>
          <w:b w:val="false"/>
          <w:bCs w:val="false"/>
          <w:color w:val="000000"/>
        </w:rPr>
        <w:t>)</w:t>
      </w:r>
      <w:r>
        <w:rPr>
          <w:rFonts w:cs="仿宋;宋体" w:hint="eastAsia"/>
          <w:color w:val="000000"/>
          <w:kern w:val="0"/>
          <w:sz w:val="32"/>
          <w:szCs w:val="32"/>
        </w:rPr>
        <w:t>会展活动期间发生公共安全事故或者其他突发事件的，举办单位应当立即启动应急预案，并及时报告公安、卫健、市场监管、消防救援等有关部门。公安、卫健、市场监管、消防救援等有关部门应当依照职责及时启动相应的应急处置机制。</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cs="仿宋;宋体"/>
          <w:color w:val="000000"/>
          <w:kern w:val="0"/>
          <w:sz w:val="32"/>
          <w:szCs w:val="32"/>
        </w:rPr>
      </w:pPr>
      <w:r>
        <w:rPr>
          <w:rFonts w:ascii="黑体" w:hAnsi="黑体" w:cs="黑体" w:hint="eastAsia" w:eastAsia="黑体"/>
          <w:b w:val="false"/>
          <w:bCs w:val="false"/>
          <w:color w:val="000000"/>
        </w:rPr>
        <w:t>第三十一条</w:t>
      </w:r>
      <w:r>
        <w:rPr>
          <w:rFonts w:eastAsia="黑体" w:cs="黑体" w:hint="eastAsia" w:ascii="黑体" w:hAnsi="黑体"/>
          <w:b w:val="false"/>
          <w:bCs w:val="false"/>
          <w:color w:val="000000"/>
        </w:rPr>
        <w:t>(</w:t>
      </w:r>
      <w:r>
        <w:rPr>
          <w:rFonts w:ascii="黑体" w:hAnsi="黑体" w:cs="黑体" w:hint="eastAsia" w:eastAsia="黑体"/>
          <w:b w:val="false"/>
          <w:bCs w:val="false"/>
          <w:color w:val="000000"/>
        </w:rPr>
        <w:t>参展规范</w:t>
      </w:r>
      <w:r>
        <w:rPr>
          <w:rFonts w:eastAsia="黑体" w:cs="黑体" w:hint="eastAsia" w:ascii="黑体" w:hAnsi="黑体"/>
          <w:b w:val="false"/>
          <w:bCs w:val="false"/>
          <w:color w:val="000000"/>
        </w:rPr>
        <w:t>)</w:t>
      </w:r>
      <w:r>
        <w:rPr>
          <w:rFonts w:cs="仿宋;宋体" w:hint="eastAsia"/>
          <w:color w:val="000000"/>
          <w:kern w:val="0"/>
          <w:sz w:val="32"/>
          <w:szCs w:val="32"/>
        </w:rPr>
        <w:t>参展单位不得进行虚假宣传，不得展示假冒伪劣、侵犯他人知识产权以及其他依法禁止展示的展品，不得违反合同约定在会展活动中展示与主题不符的展品或者从事其他与主题不符的活动。</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cs="仿宋;宋体"/>
          <w:color w:val="000000"/>
          <w:kern w:val="0"/>
          <w:sz w:val="32"/>
          <w:szCs w:val="32"/>
        </w:rPr>
      </w:pPr>
      <w:r>
        <w:rPr>
          <w:rFonts w:cs="仿宋;宋体" w:hint="eastAsia"/>
          <w:color w:val="000000"/>
          <w:kern w:val="0"/>
          <w:sz w:val="32"/>
          <w:szCs w:val="32"/>
        </w:rPr>
        <w:t>参展单位在会展活动中有前款规定行为的，举办单位按照合同约定采取遮盖、下架其展品或者取消其参展资格等措施。</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cs="仿宋;宋体"/>
          <w:color w:val="000000"/>
          <w:kern w:val="0"/>
          <w:sz w:val="32"/>
          <w:szCs w:val="32"/>
        </w:rPr>
      </w:pPr>
      <w:r>
        <w:rPr>
          <w:rFonts w:ascii="黑体" w:hAnsi="黑体" w:cs="黑体" w:hint="eastAsia" w:eastAsia="黑体"/>
          <w:b w:val="false"/>
          <w:bCs w:val="false"/>
          <w:color w:val="000000"/>
        </w:rPr>
        <w:t>第三十二条</w:t>
      </w:r>
      <w:r>
        <w:rPr>
          <w:rFonts w:eastAsia="黑体" w:cs="黑体" w:hint="eastAsia" w:ascii="黑体" w:hAnsi="黑体"/>
          <w:b w:val="false"/>
          <w:bCs w:val="false"/>
          <w:color w:val="000000"/>
        </w:rPr>
        <w:t>(</w:t>
      </w:r>
      <w:r>
        <w:rPr>
          <w:rFonts w:ascii="黑体" w:hAnsi="黑体" w:cs="黑体" w:hint="eastAsia" w:eastAsia="黑体"/>
          <w:b w:val="false"/>
          <w:bCs w:val="false"/>
          <w:color w:val="000000"/>
        </w:rPr>
        <w:t>信息保护</w:t>
      </w:r>
      <w:r>
        <w:rPr>
          <w:rFonts w:eastAsia="黑体" w:cs="黑体" w:hint="eastAsia" w:ascii="黑体" w:hAnsi="黑体"/>
          <w:b w:val="false"/>
          <w:bCs w:val="false"/>
          <w:color w:val="000000"/>
        </w:rPr>
        <w:t>)</w:t>
      </w:r>
      <w:r>
        <w:rPr>
          <w:rFonts w:cs="仿宋;宋体" w:hint="eastAsia"/>
          <w:color w:val="000000"/>
          <w:kern w:val="0"/>
          <w:sz w:val="32"/>
          <w:szCs w:val="32"/>
        </w:rPr>
        <w:t>举办单位、场馆单位和会展服务单位收集参展单位和个人信息的，应当明示收集和使用信息的目的、方式和范围，并征得被收集者同意。</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cs="仿宋;宋体"/>
          <w:color w:val="000000"/>
          <w:kern w:val="0"/>
          <w:sz w:val="32"/>
          <w:szCs w:val="32"/>
        </w:rPr>
      </w:pPr>
      <w:r>
        <w:rPr>
          <w:rFonts w:cs="仿宋;宋体" w:hint="eastAsia"/>
          <w:color w:val="000000"/>
          <w:kern w:val="0"/>
          <w:sz w:val="32"/>
          <w:szCs w:val="32"/>
        </w:rPr>
        <w:t>信息收集方应当采取有效措施防止信息泄露，不得超出被收集者同意的范围使用相关信息。</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cs="仿宋;宋体"/>
          <w:color w:val="000000"/>
          <w:kern w:val="0"/>
          <w:sz w:val="32"/>
          <w:szCs w:val="32"/>
        </w:rPr>
      </w:pPr>
      <w:r>
        <w:rPr>
          <w:rFonts w:ascii="黑体" w:hAnsi="黑体" w:cs="黑体" w:hint="eastAsia" w:eastAsia="黑体"/>
          <w:b w:val="false"/>
          <w:bCs w:val="false"/>
          <w:color w:val="000000"/>
        </w:rPr>
        <w:t>第三十三条</w:t>
      </w:r>
      <w:r>
        <w:rPr>
          <w:rFonts w:eastAsia="黑体" w:cs="黑体" w:hint="eastAsia" w:ascii="黑体" w:hAnsi="黑体"/>
          <w:b w:val="false"/>
          <w:bCs w:val="false"/>
          <w:color w:val="000000"/>
        </w:rPr>
        <w:t>(</w:t>
      </w:r>
      <w:r>
        <w:rPr>
          <w:rFonts w:ascii="黑体" w:hAnsi="黑体" w:cs="黑体" w:hint="eastAsia" w:eastAsia="黑体"/>
          <w:b w:val="false"/>
          <w:bCs w:val="false"/>
          <w:color w:val="000000"/>
        </w:rPr>
        <w:t>投诉举报</w:t>
      </w:r>
      <w:r>
        <w:rPr>
          <w:rFonts w:eastAsia="黑体" w:cs="黑体" w:hint="eastAsia" w:ascii="黑体" w:hAnsi="黑体"/>
          <w:b w:val="false"/>
          <w:bCs w:val="false"/>
          <w:color w:val="000000"/>
        </w:rPr>
        <w:t>)</w:t>
      </w:r>
      <w:r>
        <w:rPr>
          <w:rFonts w:cs="仿宋;宋体" w:hint="eastAsia"/>
          <w:bCs/>
          <w:color w:val="000000"/>
          <w:kern w:val="0"/>
          <w:sz w:val="32"/>
          <w:szCs w:val="32"/>
        </w:rPr>
        <w:t>举办单位应当在会展场馆设置投诉处理点，并在醒目位置公布商务、公安、市场监管等有关部门的投诉举报电话。</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cs="仿宋;宋体"/>
          <w:bCs/>
          <w:color w:val="000000"/>
          <w:kern w:val="0"/>
          <w:sz w:val="32"/>
          <w:szCs w:val="32"/>
        </w:rPr>
      </w:pPr>
      <w:r>
        <w:rPr>
          <w:rFonts w:ascii="黑体" w:hAnsi="黑体" w:cs="黑体" w:hint="eastAsia" w:eastAsia="黑体"/>
          <w:b w:val="false"/>
          <w:bCs w:val="false"/>
          <w:color w:val="000000"/>
        </w:rPr>
        <w:t>第三十四条</w:t>
      </w:r>
      <w:r>
        <w:rPr>
          <w:rFonts w:eastAsia="黑体" w:cs="黑体" w:hint="eastAsia" w:ascii="黑体" w:hAnsi="黑体"/>
          <w:b w:val="false"/>
          <w:bCs w:val="false"/>
          <w:color w:val="000000"/>
        </w:rPr>
        <w:t>(</w:t>
      </w:r>
      <w:r>
        <w:rPr>
          <w:rFonts w:ascii="黑体" w:hAnsi="黑体" w:cs="黑体" w:hint="eastAsia" w:eastAsia="黑体"/>
          <w:b w:val="false"/>
          <w:bCs w:val="false"/>
          <w:color w:val="000000"/>
        </w:rPr>
        <w:t>信用信息共享</w:t>
      </w:r>
      <w:r>
        <w:rPr>
          <w:rFonts w:eastAsia="黑体" w:cs="黑体" w:hint="eastAsia" w:ascii="黑体" w:hAnsi="黑体"/>
          <w:b w:val="false"/>
          <w:bCs w:val="false"/>
          <w:color w:val="000000"/>
        </w:rPr>
        <w:t>)</w:t>
      </w:r>
      <w:r>
        <w:rPr>
          <w:rFonts w:cs="仿宋;宋体" w:hint="eastAsia"/>
          <w:bCs/>
          <w:color w:val="000000"/>
          <w:kern w:val="0"/>
          <w:sz w:val="32"/>
          <w:szCs w:val="32"/>
        </w:rPr>
        <w:t>市会展业主管部门应当加强会展业信用建设，并与市公共信用信息平台建立网络链接，推动与有关部门监管信息的共享。</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cs="仿宋;宋体"/>
          <w:bCs/>
          <w:color w:val="000000"/>
          <w:kern w:val="0"/>
          <w:sz w:val="32"/>
          <w:szCs w:val="32"/>
        </w:rPr>
      </w:pPr>
      <w:r>
        <w:rPr>
          <w:rFonts w:ascii="黑体" w:hAnsi="黑体" w:cs="黑体" w:hint="eastAsia" w:eastAsia="黑体"/>
          <w:b w:val="false"/>
          <w:bCs w:val="false"/>
          <w:color w:val="000000"/>
        </w:rPr>
        <w:t>第三十五条</w:t>
      </w:r>
      <w:r>
        <w:rPr>
          <w:rFonts w:eastAsia="黑体" w:cs="黑体" w:hint="eastAsia" w:ascii="黑体" w:hAnsi="黑体"/>
          <w:b w:val="false"/>
          <w:bCs w:val="false"/>
          <w:color w:val="000000"/>
        </w:rPr>
        <w:t>(</w:t>
      </w:r>
      <w:r>
        <w:rPr>
          <w:rFonts w:ascii="黑体" w:hAnsi="黑体" w:cs="黑体" w:hint="eastAsia" w:eastAsia="黑体"/>
          <w:b w:val="false"/>
          <w:bCs w:val="false"/>
          <w:color w:val="000000"/>
        </w:rPr>
        <w:t>监管约谈</w:t>
      </w:r>
      <w:r>
        <w:rPr>
          <w:rFonts w:eastAsia="黑体" w:cs="黑体" w:hint="eastAsia" w:ascii="黑体" w:hAnsi="黑体"/>
          <w:b w:val="false"/>
          <w:bCs w:val="false"/>
          <w:color w:val="000000"/>
        </w:rPr>
        <w:t>)</w:t>
      </w:r>
      <w:r>
        <w:rPr>
          <w:rFonts w:cs="仿宋;宋体" w:hint="eastAsia"/>
          <w:color w:val="000000"/>
          <w:kern w:val="0"/>
          <w:sz w:val="32"/>
          <w:szCs w:val="32"/>
        </w:rPr>
        <w:t>会展业主管部门发现举办单位、场馆单位、参展单位和会展服务单位存在违反本条例规定行为的，可以会同市场监管等部门约谈有关单位主要负责人，要求其采取有效措施予以整改。</w:t>
      </w:r>
    </w:p>
    <w:p>
      <w:pPr>
        <w:pStyle w:val="Normal"/>
        <w:keepNext w:val="false"/>
        <w:keepLines w:val="false"/>
        <w:pageBreakBefore w:val="false"/>
        <w:widowControl w:val="false"/>
        <w:kinsoku w:val="true"/>
        <w:overflowPunct w:val="true"/>
        <w:autoSpaceDE w:val="true"/>
        <w:bidi w:val="0"/>
        <w:snapToGrid w:val="true"/>
        <w:spacing w:lineRule="exact" w:line="600" w:before="321" w:after="321"/>
        <w:jc w:val="center"/>
        <w:textAlignment w:val="auto"/>
        <w:rPr>
          <w:rFonts w:ascii="黑体" w:hAnsi="黑体" w:eastAsia="黑体" w:cs="黑体"/>
          <w:color w:val="000000"/>
          <w:kern w:val="0"/>
          <w:sz w:val="32"/>
          <w:szCs w:val="32"/>
        </w:rPr>
      </w:pPr>
      <w:r>
        <w:rPr>
          <w:rFonts w:ascii="黑体" w:hAnsi="黑体" w:cs="黑体" w:hint="eastAsia" w:eastAsia="黑体"/>
          <w:color w:val="000000"/>
          <w:kern w:val="0"/>
          <w:sz w:val="32"/>
          <w:szCs w:val="32"/>
        </w:rPr>
        <w:t>第五章  附  则</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cs="仿宋;宋体"/>
          <w:color w:val="000000"/>
          <w:kern w:val="0"/>
          <w:sz w:val="32"/>
          <w:szCs w:val="32"/>
        </w:rPr>
      </w:pPr>
      <w:r>
        <w:rPr>
          <w:rFonts w:ascii="黑体" w:hAnsi="黑体" w:cs="黑体" w:hint="eastAsia" w:eastAsia="黑体"/>
          <w:b w:val="false"/>
          <w:bCs w:val="false"/>
          <w:color w:val="000000"/>
        </w:rPr>
        <w:t>第三十六条</w:t>
      </w:r>
      <w:r>
        <w:rPr>
          <w:rFonts w:eastAsia="黑体" w:cs="黑体" w:hint="eastAsia" w:ascii="黑体" w:hAnsi="黑体"/>
          <w:b w:val="false"/>
          <w:bCs w:val="false"/>
          <w:color w:val="000000"/>
        </w:rPr>
        <w:t>(</w:t>
      </w:r>
      <w:r>
        <w:rPr>
          <w:rFonts w:ascii="黑体" w:hAnsi="黑体" w:cs="黑体" w:hint="eastAsia" w:eastAsia="黑体"/>
          <w:b w:val="false"/>
          <w:bCs w:val="false"/>
          <w:color w:val="000000"/>
        </w:rPr>
        <w:t>名词解释</w:t>
      </w:r>
      <w:r>
        <w:rPr>
          <w:rFonts w:eastAsia="黑体" w:cs="黑体" w:hint="eastAsia" w:ascii="黑体" w:hAnsi="黑体"/>
          <w:b w:val="false"/>
          <w:bCs w:val="false"/>
          <w:color w:val="000000"/>
        </w:rPr>
        <w:t>)</w:t>
      </w:r>
      <w:r>
        <w:rPr>
          <w:rFonts w:cs="仿宋;宋体" w:hint="eastAsia"/>
          <w:color w:val="000000"/>
          <w:kern w:val="0"/>
          <w:sz w:val="32"/>
          <w:szCs w:val="32"/>
        </w:rPr>
        <w:t>本条例下列用语的含义：</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cs="仿宋;宋体"/>
          <w:color w:val="000000"/>
          <w:kern w:val="0"/>
          <w:sz w:val="32"/>
          <w:szCs w:val="32"/>
        </w:rPr>
      </w:pPr>
      <w:r>
        <w:rPr>
          <w:rFonts w:cs="仿宋;宋体" w:hint="eastAsia"/>
          <w:color w:val="000000"/>
          <w:kern w:val="0"/>
          <w:sz w:val="32"/>
          <w:szCs w:val="32"/>
        </w:rPr>
        <w:t>㈠举办单位，是指负责制定会展活动的实施方案和计划，对会展活动进行统筹、组织和安排的单位，包括主办单位和承办单位；</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cs="仿宋;宋体"/>
          <w:color w:val="000000"/>
          <w:kern w:val="0"/>
          <w:sz w:val="32"/>
          <w:szCs w:val="32"/>
        </w:rPr>
      </w:pPr>
      <w:r>
        <w:rPr>
          <w:rFonts w:cs="仿宋;宋体" w:hint="eastAsia"/>
          <w:color w:val="000000"/>
          <w:kern w:val="0"/>
          <w:sz w:val="32"/>
          <w:szCs w:val="32"/>
        </w:rPr>
        <w:t>㈡场馆单位，是指为会展活动提供场地和相关服务的单位；</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cs="仿宋;宋体"/>
          <w:color w:val="000000"/>
          <w:kern w:val="0"/>
          <w:sz w:val="32"/>
          <w:szCs w:val="32"/>
        </w:rPr>
      </w:pPr>
      <w:r>
        <w:rPr>
          <w:rFonts w:cs="仿宋;宋体" w:hint="eastAsia"/>
          <w:color w:val="000000"/>
          <w:kern w:val="0"/>
          <w:sz w:val="32"/>
          <w:szCs w:val="32"/>
        </w:rPr>
        <w:t>㈢参展单位，是指将物品、技术、服务等在会展活动中展示交流的单位；</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cs="仿宋;宋体"/>
          <w:color w:val="000000"/>
          <w:kern w:val="0"/>
          <w:sz w:val="32"/>
          <w:szCs w:val="32"/>
        </w:rPr>
      </w:pPr>
      <w:r>
        <w:rPr>
          <w:rFonts w:cs="仿宋;宋体" w:hint="eastAsia"/>
          <w:color w:val="000000"/>
          <w:kern w:val="0"/>
          <w:sz w:val="32"/>
          <w:szCs w:val="32"/>
        </w:rPr>
        <w:t>㈣会展服务单位，是指在会展活动中为举办单位、场馆单位、参展单位、观众等各方提供搭建、物流、餐饮等专业服务的单位。</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cs="仿宋;宋体"/>
          <w:b/>
          <w:bCs/>
          <w:color w:val="000000"/>
          <w:kern w:val="0"/>
          <w:sz w:val="32"/>
          <w:szCs w:val="32"/>
        </w:rPr>
      </w:pPr>
      <w:r>
        <w:rPr>
          <w:rFonts w:ascii="黑体" w:hAnsi="黑体" w:cs="黑体" w:hint="eastAsia" w:eastAsia="黑体"/>
          <w:b w:val="false"/>
          <w:bCs w:val="false"/>
          <w:color w:val="000000"/>
        </w:rPr>
        <w:t>第三十七条</w:t>
      </w:r>
      <w:r>
        <w:rPr>
          <w:rFonts w:eastAsia="黑体" w:cs="黑体" w:hint="eastAsia" w:ascii="黑体" w:hAnsi="黑体"/>
          <w:b w:val="false"/>
          <w:bCs w:val="false"/>
          <w:color w:val="000000"/>
        </w:rPr>
        <w:t>(</w:t>
      </w:r>
      <w:r>
        <w:rPr>
          <w:rFonts w:ascii="黑体" w:hAnsi="黑体" w:cs="黑体" w:hint="eastAsia" w:eastAsia="黑体"/>
          <w:b w:val="false"/>
          <w:bCs w:val="false"/>
          <w:color w:val="000000"/>
        </w:rPr>
        <w:t>转致规定</w:t>
      </w:r>
      <w:r>
        <w:rPr>
          <w:rFonts w:eastAsia="黑体" w:cs="黑体" w:hint="eastAsia" w:ascii="黑体" w:hAnsi="黑体"/>
          <w:b w:val="false"/>
          <w:bCs w:val="false"/>
          <w:color w:val="000000"/>
        </w:rPr>
        <w:t>)</w:t>
      </w:r>
      <w:r>
        <w:rPr>
          <w:rFonts w:cs="仿宋;宋体" w:hint="eastAsia"/>
          <w:color w:val="000000"/>
          <w:kern w:val="0"/>
          <w:sz w:val="32"/>
          <w:szCs w:val="32"/>
        </w:rPr>
        <w:t>会展活动属于大型群众性活动的，法律、法规对其规范和管理另有规定的，从其规定。</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cs="仿宋;宋体"/>
          <w:sz w:val="32"/>
          <w:szCs w:val="32"/>
        </w:rPr>
      </w:pPr>
      <w:r>
        <w:rPr>
          <w:rFonts w:ascii="黑体" w:hAnsi="黑体" w:cs="黑体" w:hint="eastAsia" w:eastAsia="黑体"/>
          <w:b w:val="false"/>
          <w:bCs w:val="false"/>
          <w:color w:val="000000"/>
        </w:rPr>
        <w:t>第三十八条</w:t>
      </w:r>
      <w:r>
        <w:rPr>
          <w:rFonts w:eastAsia="黑体" w:cs="黑体" w:hint="eastAsia" w:ascii="黑体" w:hAnsi="黑体"/>
          <w:b w:val="false"/>
          <w:bCs w:val="false"/>
          <w:color w:val="000000"/>
        </w:rPr>
        <w:t>(</w:t>
      </w:r>
      <w:r>
        <w:rPr>
          <w:rFonts w:ascii="黑体" w:hAnsi="黑体" w:cs="黑体" w:hint="eastAsia" w:eastAsia="黑体"/>
          <w:b w:val="false"/>
          <w:bCs w:val="false"/>
          <w:color w:val="000000"/>
        </w:rPr>
        <w:t>实施日期</w:t>
      </w:r>
      <w:r>
        <w:rPr>
          <w:rFonts w:eastAsia="黑体" w:cs="黑体" w:hint="eastAsia" w:ascii="黑体" w:hAnsi="黑体"/>
          <w:b w:val="false"/>
          <w:bCs w:val="false"/>
          <w:color w:val="000000"/>
        </w:rPr>
        <w:t>)</w:t>
      </w:r>
      <w:r>
        <w:rPr>
          <w:rFonts w:cs="仿宋;宋体" w:hint="eastAsia"/>
          <w:color w:val="000000"/>
          <w:kern w:val="0"/>
          <w:sz w:val="32"/>
          <w:szCs w:val="32"/>
        </w:rPr>
        <w:t>本条例自</w:t>
      </w:r>
      <w:r>
        <w:rPr>
          <w:rFonts w:cs="仿宋;宋体" w:hint="eastAsia"/>
          <w:color w:val="000000"/>
          <w:kern w:val="0"/>
          <w:sz w:val="32"/>
          <w:szCs w:val="32"/>
        </w:rPr>
        <w:t>2021</w:t>
      </w:r>
      <w:r>
        <w:rPr>
          <w:rFonts w:cs="仿宋;宋体" w:hint="eastAsia"/>
          <w:color w:val="000000"/>
          <w:kern w:val="0"/>
          <w:sz w:val="32"/>
          <w:szCs w:val="32"/>
        </w:rPr>
        <w:t>年</w:t>
      </w:r>
      <w:r>
        <w:rPr>
          <w:rFonts w:cs="仿宋;宋体" w:hint="eastAsia"/>
          <w:color w:val="000000"/>
          <w:kern w:val="0"/>
          <w:sz w:val="32"/>
          <w:szCs w:val="32"/>
        </w:rPr>
        <w:t>3</w:t>
      </w:r>
      <w:r>
        <w:rPr>
          <w:rFonts w:cs="仿宋;宋体" w:hint="eastAsia"/>
          <w:color w:val="000000"/>
          <w:kern w:val="0"/>
          <w:sz w:val="32"/>
          <w:szCs w:val="32"/>
        </w:rPr>
        <w:t>月</w:t>
      </w:r>
      <w:r>
        <w:rPr>
          <w:rFonts w:cs="仿宋;宋体" w:hint="eastAsia"/>
          <w:color w:val="000000"/>
          <w:kern w:val="0"/>
          <w:sz w:val="32"/>
          <w:szCs w:val="32"/>
        </w:rPr>
        <w:t>1</w:t>
      </w:r>
      <w:r>
        <w:rPr>
          <w:rFonts w:cs="仿宋;宋体" w:hint="eastAsia"/>
          <w:color w:val="000000"/>
          <w:kern w:val="0"/>
          <w:sz w:val="32"/>
          <w:szCs w:val="32"/>
        </w:rPr>
        <w:t>日起施行。</w:t>
      </w:r>
    </w:p>
    <w:p>
      <w:pPr>
        <w:pStyle w:val="Normal"/>
        <w:keepNext w:val="false"/>
        <w:keepLines w:val="false"/>
        <w:pageBreakBefore w:val="false"/>
        <w:widowControl w:val="false"/>
        <w:kinsoku w:val="true"/>
        <w:overflowPunct w:val="true"/>
        <w:autoSpaceDE w:val="true"/>
        <w:bidi w:val="0"/>
        <w:spacing w:lineRule="exact" w:line="600"/>
        <w:textAlignment w:val="auto"/>
        <w:rPr>
          <w:rFonts w:ascii="黑体" w:hAnsi="黑体" w:eastAsia="黑体" w:cs="仿宋;宋体"/>
          <w:sz w:val="32"/>
          <w:szCs w:val="32"/>
        </w:rPr>
      </w:pPr>
      <w:r>
        <w:rPr>
          <w:rFonts w:eastAsia="黑体" w:cs="仿宋;宋体" w:ascii="黑体" w:hAnsi="黑体"/>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20"/>
        <w:textAlignment w:val="auto"/>
        <w:rPr>
          <w:rFonts w:ascii="Times New Roman;DejaVu Sans" w:hAnsi="Times New Roman;DejaVu Sans" w:eastAsia="仿宋_GB2312" w:cs="Times New Roman;DejaVu Sans" w:hint="eastAsia"/>
          <w:bCs/>
          <w:color w:val="000000"/>
          <w:sz w:val="32"/>
          <w:szCs w:val="32"/>
        </w:rPr>
      </w:pPr>
      <w:r>
        <w:rPr>
          <w:rFonts w:eastAsia="仿宋_GB2312" w:cs="Times New Roman;DejaVu Sans" w:hint="eastAsia" w:ascii="Times New Roman;DejaVu Sans" w:hAnsi="Times New Roman;DejaVu Sans"/>
          <w:bCs/>
          <w:color w:val="000000"/>
          <w:sz w:val="32"/>
          <w:szCs w:val="32"/>
        </w:rPr>
      </w:r>
    </w:p>
    <w:sectPr>
      <w:footerReference w:type="even" r:id="rId2"/>
      <w:footerReference w:type="default" r:id="rId3"/>
      <w:type w:val="nextPage"/>
      <w:pgSz w:w="11906" w:h="16838"/>
      <w:pgMar w:left="1531" w:right="1531" w:gutter="0" w:header="0" w:top="2098" w:footer="1361" w:bottom="1985"/>
      <w:pgNumType w:fmt="decimal"/>
      <w:formProt w:val="false"/>
      <w:textDirection w:val="lrTb"/>
      <w:docGrid w:type="linesAndChars" w:linePitch="636" w:charSpace="4294963814"/>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方正仿宋简体">
    <w:altName w:val="方正仿宋_GBK"/>
    <w:charset w:val="00" w:characterSet="windows-1252"/>
    <w:family w:val="script"/>
    <w:pitch w:val="default"/>
  </w:font>
  <w:font w:name="Liberation Sans">
    <w:altName w:val="Arial"/>
    <w:charset w:val="01" w:characterSet="utf-8"/>
    <w:family w:val="swiss"/>
    <w:pitch w:val="variable"/>
  </w:font>
  <w:font w:name="Calibri">
    <w:altName w:val="DejaVu Sans"/>
    <w:charset w:val="00" w:characterSet="windows-1252"/>
    <w:family w:val="swiss"/>
    <w:pitch w:val="default"/>
  </w:font>
  <w:font w:name="Times New Roman">
    <w:altName w:val="DejaVu Sans"/>
    <w:charset w:val="00" w:characterSet="windows-1252"/>
    <w:family w:val="roman"/>
    <w:pitch w:val="default"/>
  </w:font>
  <w:font w:name="宋体">
    <w:charset w:val="86"/>
    <w:family w:val="auto"/>
    <w:pitch w:val="default"/>
  </w:font>
  <w:font w:name="等线">
    <w:altName w:val="仿宋_GB2312"/>
    <w:charset w:val="00" w:characterSet="windows-1252"/>
    <w:family w:val="auto"/>
    <w:pitch w:val="default"/>
  </w:font>
  <w:font w:name="Tahoma">
    <w:altName w:val="DejaVu Sans"/>
    <w:charset w:val="00" w:characterSet="windows-1252"/>
    <w:family w:val="auto"/>
    <w:pitch w:val="default"/>
  </w:font>
  <w:font w:name="方正楷体简体">
    <w:altName w:val="宋体"/>
    <w:charset w:val="00" w:characterSet="windows-1252"/>
    <w:family w:val="auto"/>
    <w:pitch w:val="default"/>
  </w:font>
  <w:font w:name="楷体_GB2312">
    <w:charset w:val="86"/>
    <w:family w:val="modern"/>
    <w:pitch w:val="default"/>
  </w:font>
  <w:font w:name="CESI黑体-GB2312">
    <w:charset w:val="86"/>
    <w:family w:val="auto"/>
    <w:pitch w:val="default"/>
  </w:font>
  <w:font w:name="黑体">
    <w:charset w:val="86"/>
    <w:family w:val="auto"/>
    <w:pitch w:val="default"/>
  </w:font>
  <w:font w:name="CESI仿宋-GB2312">
    <w:charset w:val="86"/>
    <w:family w:val="auto"/>
    <w:pitch w:val="default"/>
  </w:font>
  <w:font w:name="仿宋_GB2312">
    <w:charset w:val="86"/>
    <w:family w:val="modern"/>
    <w:pitch w:val="default"/>
  </w:font>
  <w:font w:name="方正小标宋_GBK">
    <w:charset w:val="86"/>
    <w:family w:val="script"/>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23" behindDoc="0" locked="0" layoutInCell="0" allowOverlap="1">
              <wp:simplePos x="0" y="0"/>
              <wp:positionH relativeFrom="rightMargin">
                <wp:posOffset>-1153795</wp:posOffset>
              </wp:positionH>
              <wp:positionV relativeFrom="paragraph">
                <wp:posOffset>3810</wp:posOffset>
              </wp:positionV>
              <wp:extent cx="1153795" cy="302260"/>
              <wp:effectExtent l="0" t="0" r="0" b="0"/>
              <wp:wrapSquare wrapText="bothSides"/>
              <wp:docPr id="2" name="Frame2"/>
              <a:graphic xmlns:a="http://schemas.openxmlformats.org/drawingml/2006/main">
                <a:graphicData uri="http://schemas.microsoft.com/office/word/2010/wordprocessingShape">
                  <wps:wsp>
                    <wps:cNvSpPr txBox="1"/>
                    <wps:spPr>
                      <a:xfrm>
                        <a:off x="0" y="0"/>
                        <a:ext cx="1153795" cy="302260"/>
                      </a:xfrm>
                      <a:prstGeom prst="rect"/>
                      <a:solidFill>
                        <a:srgbClr val="FFFFFF">
                          <a:alpha val="0"/>
                        </a:srgbClr>
                      </a:solidFill>
                    </wps:spPr>
                    <wps:txbx>
                      <w:txbxContent>
                        <w:p>
                          <w:pPr>
                            <w:pStyle w:val="Footer"/>
                            <w:jc w:val="center"/>
                            <w:rPr>
                              <w:rStyle w:val="PageNumber"/>
                              <w:rFonts w:ascii="宋体" w:hAnsi="宋体" w:eastAsia="宋体" w:hint="eastAsia"/>
                              <w:sz w:val="28"/>
                              <w:szCs w:val="28"/>
                            </w:rPr>
                          </w:pPr>
                          <w:r>
                            <w:rPr>
                              <w:rStyle w:val="PageNumber"/>
                              <w:rFonts w:eastAsia="宋体" w:hint="eastAsia" w:ascii="宋体" w:hAnsi="宋体"/>
                              <w:sz w:val="28"/>
                              <w:szCs w:val="28"/>
                            </w:rPr>
                            <w:t xml:space="preserve">— </w:t>
                          </w:r>
                          <w:r>
                            <w:rPr>
                              <w:rFonts w:eastAsia="宋体" w:cs="Times New Roman;DejaVu Sans" w:ascii="Times New Roman;DejaVu Sans" w:hAnsi="Times New Roman;DejaVu Sans"/>
                              <w:sz w:val="28"/>
                              <w:szCs w:val="28"/>
                            </w:rPr>
                            <w:fldChar w:fldCharType="begin"/>
                          </w:r>
                          <w:r>
                            <w:rPr>
                              <w:rFonts w:eastAsia="宋体" w:cs="Times New Roman;DejaVu Sans" w:ascii="Times New Roman;DejaVu Sans" w:hAnsi="Times New Roman;DejaVu Sans"/>
                              <w:sz w:val="28"/>
                              <w:szCs w:val="28"/>
                            </w:rPr>
                            <w:instrText xml:space="preserve"> PAGE </w:instrText>
                          </w:r>
                          <w:r>
                            <w:rPr>
                              <w:rFonts w:eastAsia="宋体" w:cs="Times New Roman;DejaVu Sans" w:ascii="Times New Roman;DejaVu Sans" w:hAnsi="Times New Roman;DejaVu Sans"/>
                              <w:sz w:val="28"/>
                              <w:szCs w:val="28"/>
                            </w:rPr>
                            <w:fldChar w:fldCharType="separate"/>
                          </w:r>
                          <w:r>
                            <w:rPr>
                              <w:rFonts w:eastAsia="宋体" w:cs="Times New Roman;DejaVu Sans" w:ascii="Times New Roman;DejaVu Sans" w:hAnsi="Times New Roman;DejaVu Sans"/>
                              <w:sz w:val="28"/>
                              <w:szCs w:val="28"/>
                            </w:rPr>
                            <w:t>22</w:t>
                          </w:r>
                          <w:r>
                            <w:rPr>
                              <w:rFonts w:eastAsia="宋体" w:cs="Times New Roman;DejaVu Sans" w:ascii="Times New Roman;DejaVu Sans" w:hAnsi="Times New Roman;DejaVu Sans"/>
                              <w:sz w:val="28"/>
                              <w:szCs w:val="28"/>
                            </w:rPr>
                            <w:fldChar w:fldCharType="end"/>
                          </w:r>
                          <w:r>
                            <w:rPr>
                              <w:rStyle w:val="PageNumber"/>
                              <w:rFonts w:eastAsia="宋体" w:hint="eastAsia" w:ascii="宋体" w:hAnsi="宋体"/>
                              <w:sz w:val="28"/>
                              <w:szCs w:val="28"/>
                            </w:rPr>
                            <w:t xml:space="preserve"> —</w:t>
                          </w:r>
                        </w:p>
                      </w:txbxContent>
                    </wps:txbx>
                    <wps:bodyPr anchor="t" lIns="0" tIns="0" rIns="0" bIns="0">
                      <a:noAutofit/>
                    </wps:bodyPr>
                  </wps:wsp>
                </a:graphicData>
              </a:graphic>
            </wp:anchor>
          </w:drawing>
        </mc:Choice>
        <mc:Fallback>
          <w:pict>
            <v:rect fillcolor="#FFFFFF" style="position:absolute;rotation:-0;width:90.85pt;height:23.8pt;mso-wrap-distance-left:0pt;mso-wrap-distance-right:0pt;mso-wrap-distance-top:0pt;mso-wrap-distance-bottom:0pt;margin-top:0.3pt;mso-position-vertical-relative:text;margin-left:-90.85pt;mso-position-horizontal-relative:text">
              <v:fill opacity="0f"/>
              <v:textbox inset="0in,0in,0in,0in">
                <w:txbxContent>
                  <w:p>
                    <w:pPr>
                      <w:pStyle w:val="Footer"/>
                      <w:jc w:val="center"/>
                      <w:rPr>
                        <w:rStyle w:val="PageNumber"/>
                        <w:rFonts w:ascii="宋体" w:hAnsi="宋体" w:eastAsia="宋体" w:hint="eastAsia"/>
                        <w:sz w:val="28"/>
                        <w:szCs w:val="28"/>
                      </w:rPr>
                    </w:pPr>
                    <w:r>
                      <w:rPr>
                        <w:rStyle w:val="PageNumber"/>
                        <w:rFonts w:eastAsia="宋体" w:hint="eastAsia" w:ascii="宋体" w:hAnsi="宋体"/>
                        <w:sz w:val="28"/>
                        <w:szCs w:val="28"/>
                      </w:rPr>
                      <w:t xml:space="preserve">— </w:t>
                    </w:r>
                    <w:r>
                      <w:rPr>
                        <w:rFonts w:eastAsia="宋体" w:cs="Times New Roman;DejaVu Sans" w:ascii="Times New Roman;DejaVu Sans" w:hAnsi="Times New Roman;DejaVu Sans"/>
                        <w:sz w:val="28"/>
                        <w:szCs w:val="28"/>
                      </w:rPr>
                      <w:fldChar w:fldCharType="begin"/>
                    </w:r>
                    <w:r>
                      <w:rPr>
                        <w:rFonts w:eastAsia="宋体" w:cs="Times New Roman;DejaVu Sans" w:ascii="Times New Roman;DejaVu Sans" w:hAnsi="Times New Roman;DejaVu Sans"/>
                        <w:sz w:val="28"/>
                        <w:szCs w:val="28"/>
                      </w:rPr>
                      <w:instrText xml:space="preserve"> PAGE </w:instrText>
                    </w:r>
                    <w:r>
                      <w:rPr>
                        <w:rFonts w:eastAsia="宋体" w:cs="Times New Roman;DejaVu Sans" w:ascii="Times New Roman;DejaVu Sans" w:hAnsi="Times New Roman;DejaVu Sans"/>
                        <w:sz w:val="28"/>
                        <w:szCs w:val="28"/>
                      </w:rPr>
                      <w:fldChar w:fldCharType="separate"/>
                    </w:r>
                    <w:r>
                      <w:rPr>
                        <w:rFonts w:eastAsia="宋体" w:cs="Times New Roman;DejaVu Sans" w:ascii="Times New Roman;DejaVu Sans" w:hAnsi="Times New Roman;DejaVu Sans"/>
                        <w:sz w:val="28"/>
                        <w:szCs w:val="28"/>
                      </w:rPr>
                      <w:t>22</w:t>
                    </w:r>
                    <w:r>
                      <w:rPr>
                        <w:rFonts w:eastAsia="宋体" w:cs="Times New Roman;DejaVu Sans" w:ascii="Times New Roman;DejaVu Sans" w:hAnsi="Times New Roman;DejaVu Sans"/>
                        <w:sz w:val="28"/>
                        <w:szCs w:val="28"/>
                      </w:rPr>
                      <w:fldChar w:fldCharType="end"/>
                    </w:r>
                    <w:r>
                      <w:rPr>
                        <w:rStyle w:val="PageNumber"/>
                        <w:rFonts w:eastAsia="宋体" w:hint="eastAsia" w:ascii="宋体" w:hAnsi="宋体"/>
                        <w:sz w:val="28"/>
                        <w:szCs w:val="28"/>
                      </w:rPr>
                      <w:t xml:space="preserve"> —</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2" behindDoc="0" locked="0" layoutInCell="0" allowOverlap="1">
              <wp:simplePos x="0" y="0"/>
              <wp:positionH relativeFrom="page">
                <wp:posOffset>5412740</wp:posOffset>
              </wp:positionH>
              <wp:positionV relativeFrom="paragraph">
                <wp:posOffset>3810</wp:posOffset>
              </wp:positionV>
              <wp:extent cx="1162685" cy="302260"/>
              <wp:effectExtent l="0" t="0" r="0" b="0"/>
              <wp:wrapSquare wrapText="bothSides"/>
              <wp:docPr id="3" name="Frame1"/>
              <a:graphic xmlns:a="http://schemas.openxmlformats.org/drawingml/2006/main">
                <a:graphicData uri="http://schemas.microsoft.com/office/word/2010/wordprocessingShape">
                  <wps:wsp>
                    <wps:cNvSpPr txBox="1"/>
                    <wps:spPr>
                      <a:xfrm>
                        <a:off x="0" y="0"/>
                        <a:ext cx="1162685" cy="302260"/>
                      </a:xfrm>
                      <a:prstGeom prst="rect"/>
                      <a:solidFill>
                        <a:srgbClr val="FFFFFF">
                          <a:alpha val="0"/>
                        </a:srgbClr>
                      </a:solidFill>
                    </wps:spPr>
                    <wps:txbx>
                      <w:txbxContent>
                        <w:p>
                          <w:pPr>
                            <w:pStyle w:val="Footer"/>
                            <w:jc w:val="center"/>
                            <w:rPr>
                              <w:rStyle w:val="PageNumber"/>
                              <w:rFonts w:ascii="宋体" w:hAnsi="宋体" w:eastAsia="宋体" w:hint="eastAsia"/>
                              <w:sz w:val="28"/>
                              <w:szCs w:val="28"/>
                            </w:rPr>
                          </w:pPr>
                          <w:r>
                            <w:rPr>
                              <w:rStyle w:val="PageNumber"/>
                              <w:rFonts w:eastAsia="宋体" w:hint="eastAsia" w:ascii="宋体" w:hAnsi="宋体"/>
                              <w:sz w:val="28"/>
                              <w:szCs w:val="28"/>
                            </w:rPr>
                            <w:t xml:space="preserve">— </w:t>
                          </w:r>
                          <w:r>
                            <w:rPr>
                              <w:rFonts w:eastAsia="宋体" w:cs="Times New Roman;DejaVu Sans" w:ascii="Times New Roman;DejaVu Sans" w:hAnsi="Times New Roman;DejaVu Sans"/>
                              <w:sz w:val="28"/>
                              <w:szCs w:val="28"/>
                            </w:rPr>
                            <w:fldChar w:fldCharType="begin"/>
                          </w:r>
                          <w:r>
                            <w:rPr>
                              <w:rFonts w:eastAsia="宋体" w:cs="Times New Roman;DejaVu Sans" w:ascii="Times New Roman;DejaVu Sans" w:hAnsi="Times New Roman;DejaVu Sans"/>
                              <w:sz w:val="28"/>
                              <w:szCs w:val="28"/>
                            </w:rPr>
                            <w:instrText xml:space="preserve"> PAGE </w:instrText>
                          </w:r>
                          <w:r>
                            <w:rPr>
                              <w:rFonts w:eastAsia="宋体" w:cs="Times New Roman;DejaVu Sans" w:ascii="Times New Roman;DejaVu Sans" w:hAnsi="Times New Roman;DejaVu Sans"/>
                              <w:sz w:val="28"/>
                              <w:szCs w:val="28"/>
                            </w:rPr>
                            <w:fldChar w:fldCharType="separate"/>
                          </w:r>
                          <w:r>
                            <w:rPr>
                              <w:rFonts w:eastAsia="宋体" w:cs="Times New Roman;DejaVu Sans" w:ascii="Times New Roman;DejaVu Sans" w:hAnsi="Times New Roman;DejaVu Sans"/>
                              <w:sz w:val="28"/>
                              <w:szCs w:val="28"/>
                            </w:rPr>
                            <w:t>21</w:t>
                          </w:r>
                          <w:r>
                            <w:rPr>
                              <w:rFonts w:eastAsia="宋体" w:cs="Times New Roman;DejaVu Sans" w:ascii="Times New Roman;DejaVu Sans" w:hAnsi="Times New Roman;DejaVu Sans"/>
                              <w:sz w:val="28"/>
                              <w:szCs w:val="28"/>
                            </w:rPr>
                            <w:fldChar w:fldCharType="end"/>
                          </w:r>
                          <w:r>
                            <w:rPr>
                              <w:rStyle w:val="PageNumber"/>
                              <w:rFonts w:eastAsia="宋体" w:hint="eastAsia" w:ascii="宋体" w:hAnsi="宋体"/>
                              <w:sz w:val="28"/>
                              <w:szCs w:val="28"/>
                            </w:rPr>
                            <w:t xml:space="preserve"> —</w:t>
                          </w:r>
                        </w:p>
                      </w:txbxContent>
                    </wps:txbx>
                    <wps:bodyPr anchor="t" lIns="0" tIns="0" rIns="0" bIns="0">
                      <a:noAutofit/>
                    </wps:bodyPr>
                  </wps:wsp>
                </a:graphicData>
              </a:graphic>
            </wp:anchor>
          </w:drawing>
        </mc:Choice>
        <mc:Fallback>
          <w:pict>
            <v:rect fillcolor="#FFFFFF" style="position:absolute;rotation:-0;width:91.55pt;height:23.8pt;mso-wrap-distance-left:0pt;mso-wrap-distance-right:0pt;mso-wrap-distance-top:0pt;mso-wrap-distance-bottom:0pt;margin-top:0.3pt;mso-position-vertical-relative:text;margin-left:426.2pt;mso-position-horizontal-relative:page">
              <v:fill opacity="0f"/>
              <v:textbox inset="0in,0in,0in,0in">
                <w:txbxContent>
                  <w:p>
                    <w:pPr>
                      <w:pStyle w:val="Footer"/>
                      <w:jc w:val="center"/>
                      <w:rPr>
                        <w:rStyle w:val="PageNumber"/>
                        <w:rFonts w:ascii="宋体" w:hAnsi="宋体" w:eastAsia="宋体" w:hint="eastAsia"/>
                        <w:sz w:val="28"/>
                        <w:szCs w:val="28"/>
                      </w:rPr>
                    </w:pPr>
                    <w:r>
                      <w:rPr>
                        <w:rStyle w:val="PageNumber"/>
                        <w:rFonts w:eastAsia="宋体" w:hint="eastAsia" w:ascii="宋体" w:hAnsi="宋体"/>
                        <w:sz w:val="28"/>
                        <w:szCs w:val="28"/>
                      </w:rPr>
                      <w:t xml:space="preserve">— </w:t>
                    </w:r>
                    <w:r>
                      <w:rPr>
                        <w:rFonts w:eastAsia="宋体" w:cs="Times New Roman;DejaVu Sans" w:ascii="Times New Roman;DejaVu Sans" w:hAnsi="Times New Roman;DejaVu Sans"/>
                        <w:sz w:val="28"/>
                        <w:szCs w:val="28"/>
                      </w:rPr>
                      <w:fldChar w:fldCharType="begin"/>
                    </w:r>
                    <w:r>
                      <w:rPr>
                        <w:rFonts w:eastAsia="宋体" w:cs="Times New Roman;DejaVu Sans" w:ascii="Times New Roman;DejaVu Sans" w:hAnsi="Times New Roman;DejaVu Sans"/>
                        <w:sz w:val="28"/>
                        <w:szCs w:val="28"/>
                      </w:rPr>
                      <w:instrText xml:space="preserve"> PAGE </w:instrText>
                    </w:r>
                    <w:r>
                      <w:rPr>
                        <w:rFonts w:eastAsia="宋体" w:cs="Times New Roman;DejaVu Sans" w:ascii="Times New Roman;DejaVu Sans" w:hAnsi="Times New Roman;DejaVu Sans"/>
                        <w:sz w:val="28"/>
                        <w:szCs w:val="28"/>
                      </w:rPr>
                      <w:fldChar w:fldCharType="separate"/>
                    </w:r>
                    <w:r>
                      <w:rPr>
                        <w:rFonts w:eastAsia="宋体" w:cs="Times New Roman;DejaVu Sans" w:ascii="Times New Roman;DejaVu Sans" w:hAnsi="Times New Roman;DejaVu Sans"/>
                        <w:sz w:val="28"/>
                        <w:szCs w:val="28"/>
                      </w:rPr>
                      <w:t>21</w:t>
                    </w:r>
                    <w:r>
                      <w:rPr>
                        <w:rFonts w:eastAsia="宋体" w:cs="Times New Roman;DejaVu Sans" w:ascii="Times New Roman;DejaVu Sans" w:hAnsi="Times New Roman;DejaVu Sans"/>
                        <w:sz w:val="28"/>
                        <w:szCs w:val="28"/>
                      </w:rPr>
                      <w:fldChar w:fldCharType="end"/>
                    </w:r>
                    <w:r>
                      <w:rPr>
                        <w:rStyle w:val="PageNumber"/>
                        <w:rFonts w:eastAsia="宋体" w:hint="eastAsia" w:ascii="宋体" w:hAnsi="宋体"/>
                        <w:sz w:val="28"/>
                        <w:szCs w:val="28"/>
                      </w:rPr>
                      <w:t xml:space="preserve"> —</w:t>
                    </w:r>
                  </w:p>
                </w:txbxContent>
              </v:textbox>
              <w10:wrap type="square"/>
            </v:rect>
          </w:pict>
        </mc:Fallback>
      </mc:AlternateContent>
    </w:r>
  </w:p>
</w:ftr>
</file>

<file path=word/settings.xml><?xml version="1.0" encoding="utf-8"?>
<w:settings xmlns:w="http://schemas.openxmlformats.org/wordprocessingml/2006/main">
  <w:zoom w:percent="130"/>
  <w:defaultTabStop w:val="709"/>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2"/>
    <w:qFormat/>
    <w:pPr>
      <w:widowControl w:val="false"/>
      <w:bidi w:val="0"/>
      <w:jc w:val="both"/>
    </w:pPr>
    <w:rPr>
      <w:rFonts w:ascii="方正仿宋简体;方正仿宋_GBK" w:hAnsi="方正仿宋简体;方正仿宋_GBK" w:eastAsia="方正仿宋简体;方正仿宋_GBK" w:cs="宋体"/>
      <w:color w:val="000000"/>
      <w:sz w:val="32"/>
      <w:szCs w:val="32"/>
      <w:lang w:bidi="ar-SA" w:val="en-US" w:eastAsia="zh-CN"/>
    </w:rPr>
  </w:style>
  <w:style w:type="character" w:styleId="Style14">
    <w:name w:val="默认段落字体"/>
    <w:qFormat/>
    <w:rPr/>
  </w:style>
  <w:style w:type="character" w:styleId="Strong">
    <w:name w:val="Strong"/>
    <w:basedOn w:val="Style14"/>
    <w:qFormat/>
    <w:rPr>
      <w:b/>
      <w:bCs/>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2">
    <w:name w:val="样式2"/>
    <w:qFormat/>
    <w:pPr>
      <w:widowControl w:val="false"/>
      <w:bidi w:val="0"/>
      <w:spacing w:lineRule="exact" w:line="600"/>
      <w:ind w:firstLineChars="200" w:startChars="0" w:start="0" w:endChars="-47"/>
    </w:pPr>
    <w:rPr>
      <w:rFonts w:ascii="Calibri;DejaVu Sans" w:hAnsi="Calibri;DejaVu Sans" w:eastAsia="宋体" w:cs="Times New Roman;DejaVu Sans"/>
      <w:bCs/>
      <w:color w:val="auto"/>
      <w:kern w:val="2"/>
      <w:sz w:val="32"/>
      <w:szCs w:val="28"/>
      <w:lang w:bidi="ar-SA" w:val="en-US" w:eastAsia="zh-CN"/>
    </w:rPr>
  </w:style>
  <w:style w:type="paragraph" w:styleId="Style15">
    <w:name w:val="日期"/>
    <w:basedOn w:val="Normal"/>
    <w:next w:val="Normal"/>
    <w:qFormat/>
    <w:pPr>
      <w:ind w:firstLineChars="0" w:firstLine="0" w:startChars="2500" w:endChars="0" w:end="0"/>
    </w:pPr>
    <w:rPr/>
  </w:style>
  <w:style w:type="paragraph" w:styleId="Style16">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21">
    <w:name w:val="正文文本 2"/>
    <w:basedOn w:val="Normal"/>
    <w:qFormat/>
    <w:pPr>
      <w:snapToGrid w:val="false"/>
      <w:jc w:val="center"/>
    </w:pPr>
    <w:rPr>
      <w:rFonts w:ascii="Times New Roman;DejaVu Sans" w:hAnsi="Times New Roman;DejaVu Sans" w:eastAsia="方正大标宋简体;宋体" w:cs="Times New Roman;DejaVu Sans"/>
      <w:color w:val="000000"/>
      <w:kern w:val="2"/>
      <w:sz w:val="36"/>
      <w:szCs w:val="20"/>
    </w:rPr>
  </w:style>
  <w:style w:type="paragraph" w:styleId="CharChar1">
    <w:name w:val="Char Char1"/>
    <w:basedOn w:val="Normal"/>
    <w:qFormat/>
    <w:pPr/>
    <w:rPr/>
  </w:style>
  <w:style w:type="paragraph" w:styleId="Style17">
    <w:name w:val="列表段落"/>
    <w:next w:val="Style15"/>
    <w:qFormat/>
    <w:pPr>
      <w:widowControl/>
      <w:bidi w:val="0"/>
      <w:ind w:firstLineChars="200" w:startChars="0" w:start="0" w:endChars="0" w:end="0"/>
    </w:pPr>
    <w:rPr>
      <w:rFonts w:ascii="Times New Roman;DejaVu Sans" w:hAnsi="Times New Roman;DejaVu Sans" w:eastAsia="宋体" w:cs="Times New Roman;DejaVu Sans"/>
      <w:color w:val="auto"/>
      <w:sz w:val="24"/>
      <w:szCs w:val="24"/>
      <w:lang w:bidi="ar-SA" w:val="en-US" w:eastAsia="zh-CN"/>
    </w:rPr>
  </w:style>
  <w:style w:type="paragraph" w:styleId="CharCharChar1Char">
    <w:name w:val="Char Char Char1 Char"/>
    <w:basedOn w:val="Normal"/>
    <w:qFormat/>
    <w:pPr>
      <w:tabs>
        <w:tab w:val="clear" w:pos="420"/>
        <w:tab w:val="left" w:pos="360" w:leader="none"/>
      </w:tabs>
    </w:pPr>
    <w:rPr>
      <w:rFonts w:ascii="Calibri;DejaVu Sans" w:hAnsi="Calibri;DejaVu Sans" w:eastAsia="宋体" w:cs="黑体"/>
      <w:color w:val="000000"/>
      <w:kern w:val="2"/>
      <w:sz w:val="24"/>
      <w:szCs w:val="24"/>
    </w:rPr>
  </w:style>
  <w:style w:type="paragraph" w:styleId="ListParagraph">
    <w:name w:val="List Paragraph"/>
    <w:basedOn w:val="Normal"/>
    <w:qFormat/>
    <w:pPr>
      <w:ind w:firstLineChars="200" w:startChars="0" w:start="0" w:endChars="0" w:end="0"/>
    </w:pPr>
    <w:rPr/>
  </w:style>
  <w:style w:type="paragraph" w:styleId="msonormalcxspmiddle">
    <w:name w:val="msonormalcxspmiddle"/>
    <w:qFormat/>
    <w:pPr>
      <w:widowControl/>
      <w:bidi w:val="0"/>
      <w:spacing w:before="100" w:after="100"/>
    </w:pPr>
    <w:rPr>
      <w:rFonts w:ascii="宋体" w:hAnsi="宋体" w:eastAsia="宋体" w:cs="宋体"/>
      <w:color w:val="auto"/>
      <w:sz w:val="24"/>
      <w:szCs w:val="24"/>
      <w:lang w:bidi="ar-SA" w:val="en-US" w:eastAsia="zh-CN"/>
    </w:rPr>
  </w:style>
  <w:style w:type="paragraph" w:styleId="Default">
    <w:name w:val="Default"/>
    <w:qFormat/>
    <w:pPr>
      <w:widowControl w:val="false"/>
      <w:autoSpaceDE w:val="false"/>
      <w:bidi w:val="0"/>
    </w:pPr>
    <w:rPr>
      <w:rFonts w:ascii="等线;仿宋_GB2312" w:hAnsi="等线;仿宋_GB2312" w:eastAsia="等线;仿宋_GB2312" w:cs="等线;仿宋_GB2312"/>
      <w:color w:val="000000"/>
      <w:sz w:val="24"/>
      <w:szCs w:val="24"/>
      <w:lang w:bidi="ar-SA" w:val="en-US" w:eastAsia="zh-CN"/>
    </w:rPr>
  </w:style>
  <w:style w:type="paragraph" w:styleId="msonormalcxsplast">
    <w:name w:val="msonormalcxsplast"/>
    <w:qFormat/>
    <w:pPr>
      <w:widowControl/>
      <w:bidi w:val="0"/>
      <w:spacing w:before="100" w:after="100"/>
    </w:pPr>
    <w:rPr>
      <w:rFonts w:ascii="宋体" w:hAnsi="宋体" w:eastAsia="宋体" w:cs="宋体"/>
      <w:color w:val="auto"/>
      <w:sz w:val="24"/>
      <w:szCs w:val="24"/>
      <w:lang w:bidi="ar-SA" w:val="en-US" w:eastAsia="zh-CN"/>
    </w:rPr>
  </w:style>
  <w:style w:type="paragraph" w:styleId="Style18">
    <w:name w:val="列出段落"/>
    <w:basedOn w:val="Normal"/>
    <w:qFormat/>
    <w:pPr>
      <w:widowControl/>
      <w:snapToGrid w:val="false"/>
      <w:spacing w:before="0" w:after="200"/>
      <w:ind w:firstLineChars="200" w:startChars="0" w:start="0" w:endChars="0" w:end="0"/>
      <w:jc w:val="start"/>
    </w:pPr>
    <w:rPr>
      <w:rFonts w:ascii="Tahoma;DejaVu Sans" w:hAnsi="Tahoma;DejaVu Sans" w:cs="Tahoma;DejaVu Sans"/>
      <w:kern w:val="0"/>
      <w:sz w:val="32"/>
      <w:szCs w:val="32"/>
    </w:rPr>
  </w:style>
  <w:style w:type="paragraph" w:styleId="p0">
    <w:name w:val="p0"/>
    <w:basedOn w:val="Normal"/>
    <w:qFormat/>
    <w:pPr>
      <w:widowControl/>
    </w:pPr>
    <w:rPr>
      <w:rFonts w:ascii="Times New Roman;DejaVu Sans" w:hAnsi="Times New Roman;DejaVu Sans" w:eastAsia="宋体" w:cs="Times New Roman;DejaVu Sans"/>
      <w:color w:val="000000"/>
    </w:rPr>
  </w:style>
  <w:style w:type="paragraph" w:styleId="1">
    <w:name w:val="列出段落1"/>
    <w:basedOn w:val="Normal"/>
    <w:qFormat/>
    <w:pPr>
      <w:ind w:firstLineChars="200" w:startChars="0" w:start="0" w:endChars="0" w:end="0"/>
    </w:pPr>
    <w:rPr>
      <w:rFonts w:ascii="Calibri;DejaVu Sans" w:hAnsi="Calibri;DejaVu Sans" w:eastAsia="宋体" w:cs="Times New Roman;DejaVu Sans"/>
      <w:color w:val="000000"/>
      <w:kern w:val="2"/>
      <w:sz w:val="21"/>
      <w:szCs w:val="24"/>
    </w:rPr>
  </w:style>
  <w:style w:type="paragraph" w:styleId="11">
    <w:name w:val="列表段落1"/>
    <w:basedOn w:val="Normal"/>
    <w:qFormat/>
    <w:pPr>
      <w:ind w:firstLineChars="200" w:startChars="0" w:start="0" w:endChars="0" w:end="0"/>
    </w:pPr>
    <w:rPr>
      <w:rFonts w:ascii="Calibri;DejaVu Sans" w:hAnsi="Calibri;DejaVu Sans" w:eastAsia="宋体" w:cs="Calibri;DejaVu Sans"/>
    </w:rPr>
  </w:style>
  <w:style w:type="paragraph" w:styleId="defaultcxsplast">
    <w:name w:val="defaultcxsplast"/>
    <w:qFormat/>
    <w:pPr>
      <w:widowControl/>
      <w:bidi w:val="0"/>
      <w:spacing w:before="100" w:after="100"/>
      <w:jc w:val="start"/>
    </w:pPr>
    <w:rPr>
      <w:rFonts w:ascii="宋体" w:hAnsi="宋体" w:eastAsia="宋体" w:cs="宋体"/>
      <w:color w:val="auto"/>
      <w:kern w:val="0"/>
      <w:sz w:val="24"/>
      <w:szCs w:val="32"/>
      <w:lang w:bidi="ar-SA" w:val="en-US" w:eastAsia="zh-CN"/>
    </w:rPr>
  </w:style>
  <w:style w:type="paragraph" w:styleId="defaultcxspmiddle">
    <w:name w:val="defaultcxspmiddle"/>
    <w:qFormat/>
    <w:pPr>
      <w:widowControl/>
      <w:bidi w:val="0"/>
      <w:spacing w:before="100" w:after="100"/>
      <w:jc w:val="start"/>
    </w:pPr>
    <w:rPr>
      <w:rFonts w:ascii="宋体" w:hAnsi="宋体" w:eastAsia="宋体" w:cs="宋体"/>
      <w:color w:val="auto"/>
      <w:kern w:val="0"/>
      <w:sz w:val="24"/>
      <w:szCs w:val="32"/>
      <w:lang w:bidi="ar-SA" w:val="en-US" w:eastAsia="zh-CN"/>
    </w:rPr>
  </w:style>
  <w:style w:type="paragraph" w:styleId="Style19">
    <w:name w:val="_Style 1"/>
    <w:basedOn w:val="Normal"/>
    <w:qFormat/>
    <w:pPr>
      <w:widowControl/>
      <w:ind w:firstLineChars="200" w:startChars="0" w:start="0" w:endChars="0" w:end="0"/>
      <w:jc w:val="start"/>
    </w:pPr>
    <w:rPr>
      <w:kern w:val="0"/>
      <w:sz w:val="24"/>
      <w:szCs w:val="24"/>
    </w:rPr>
  </w:style>
  <w:style w:type="paragraph" w:styleId="CharCharCharCharCharChar">
    <w:name w:val=" Char Char Char Char Char Char"/>
    <w:basedOn w:val="Normal"/>
    <w:qFormat/>
    <w:pPr>
      <w:widowControl/>
      <w:spacing w:lineRule="exact" w:line="240" w:before="0" w:after="160"/>
      <w:jc w:val="start"/>
    </w:pPr>
    <w:rPr/>
  </w:style>
  <w:style w:type="paragraph" w:styleId="Char">
    <w:name w:val="Char"/>
    <w:basedOn w:val="Normal"/>
    <w:qFormat/>
    <w:pPr/>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33120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2019-05-02T16:58:00Z</dcterms:created>
  <dc:creator>周福益</dc:creator>
  <dc:description/>
  <dc:language>en-US</dc:language>
  <cp:lastModifiedBy>qgrd</cp:lastModifiedBy>
  <cp:lastPrinted>2020-12-26T09:00:00Z</cp:lastPrinted>
  <dcterms:modified xsi:type="dcterms:W3CDTF">2021-10-19T17:47:51Z</dcterms:modified>
  <cp:revision>286</cp:revision>
  <dc:subject/>
  <dc:title>厦门市人民代表大会常务委员会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2052-11.8.2.10251</vt:lpwstr>
  </property>
</Properties>
</file>