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spacing w:lineRule="exact" w:line="560"/>
        <w:jc w:val="center"/>
        <w:rPr>
          <w:rFonts w:ascii="宋体;SimSun" w:hAnsi="宋体;SimSun" w:cs="宋体;SimSun" w:hint="eastAsia"/>
          <w:bCs/>
          <w:color w:val="000000"/>
          <w:sz w:val="32"/>
          <w:szCs w:val="32"/>
        </w:rPr>
      </w:pPr>
      <w:r>
        <w:rPr>
          <w:rFonts w:cs="宋体;SimSun" w:hint="eastAsia" w:ascii="宋体;SimSun" w:hAnsi="宋体;SimSun"/>
          <w:bCs/>
          <w:color w:val="000000"/>
          <w:sz w:val="32"/>
          <w:szCs w:val="32"/>
        </w:rPr>
      </w:r>
    </w:p>
    <w:p>
      <w:pPr>
        <w:pStyle w:val="Normal"/>
        <w:snapToGrid w:val="false"/>
        <w:spacing w:lineRule="exact" w:line="560"/>
        <w:jc w:val="center"/>
        <w:rPr>
          <w:rFonts w:ascii="宋体;SimSun" w:hAnsi="宋体;SimSun" w:cs="宋体;SimSun" w:hint="eastAsia"/>
          <w:bCs/>
          <w:color w:val="000000"/>
          <w:sz w:val="32"/>
          <w:szCs w:val="32"/>
        </w:rPr>
      </w:pPr>
      <w:r>
        <w:rPr>
          <w:rFonts w:cs="宋体;SimSun" w:hint="eastAsia" w:ascii="宋体;SimSun" w:hAnsi="宋体;SimSun"/>
          <w:bCs/>
          <w:color w:val="000000"/>
          <w:sz w:val="32"/>
          <w:szCs w:val="32"/>
        </w:rPr>
      </w:r>
    </w:p>
    <w:p>
      <w:pPr>
        <w:pStyle w:val="Normal"/>
        <w:snapToGrid w:val="false"/>
        <w:spacing w:lineRule="exact" w:line="560"/>
        <w:jc w:val="center"/>
        <w:rPr>
          <w:rFonts w:ascii="宋体;SimSun" w:hAnsi="宋体;SimSun" w:cs="宋体;SimSun" w:hint="eastAsia"/>
          <w:bCs/>
          <w:color w:val="000000"/>
          <w:sz w:val="44"/>
          <w:szCs w:val="44"/>
        </w:rPr>
      </w:pPr>
      <w:r>
        <w:rPr>
          <w:rFonts w:ascii="宋体;SimSun" w:hAnsi="宋体;SimSun" w:cs="宋体;SimSun" w:hint="eastAsia"/>
          <w:bCs/>
          <w:color w:val="000000"/>
          <w:sz w:val="44"/>
          <w:szCs w:val="44"/>
        </w:rPr>
        <w:t>厦门市人民代表大会常务委员会关于在中国（福建）自由贸易试验区厦门片区暂时调整</w:t>
      </w:r>
    </w:p>
    <w:p>
      <w:pPr>
        <w:pStyle w:val="Normal"/>
        <w:snapToGrid w:val="false"/>
        <w:spacing w:lineRule="exact" w:line="560"/>
        <w:jc w:val="center"/>
        <w:rPr>
          <w:rFonts w:ascii="宋体;SimSun" w:hAnsi="宋体;SimSun" w:cs="宋体;SimSun" w:hint="eastAsia"/>
          <w:bCs/>
          <w:color w:val="000000"/>
          <w:sz w:val="44"/>
          <w:szCs w:val="44"/>
        </w:rPr>
      </w:pPr>
      <w:r>
        <w:rPr>
          <w:rFonts w:ascii="宋体;SimSun" w:hAnsi="宋体;SimSun" w:cs="宋体;SimSun" w:hint="eastAsia"/>
          <w:bCs/>
          <w:color w:val="000000"/>
          <w:sz w:val="44"/>
          <w:szCs w:val="44"/>
        </w:rPr>
        <w:t>实施本市有关地方性法规规定的决定</w:t>
      </w:r>
    </w:p>
    <w:p>
      <w:pPr>
        <w:pStyle w:val="Normal"/>
        <w:snapToGrid w:val="false"/>
        <w:spacing w:lineRule="exact" w:line="560"/>
        <w:rPr>
          <w:rFonts w:ascii="宋体;SimSun" w:hAnsi="宋体;SimSun" w:cs="宋体;SimSun" w:hint="eastAsia"/>
          <w:bCs/>
          <w:color w:val="000000"/>
          <w:sz w:val="32"/>
          <w:szCs w:val="32"/>
        </w:rPr>
      </w:pPr>
      <w:r>
        <w:rPr>
          <w:rFonts w:cs="宋体;SimSun" w:hint="eastAsia" w:ascii="宋体;SimSun" w:hAnsi="宋体;SimSun"/>
          <w:bCs/>
          <w:color w:val="000000"/>
          <w:sz w:val="32"/>
          <w:szCs w:val="32"/>
        </w:rPr>
      </w:r>
    </w:p>
    <w:p>
      <w:pPr>
        <w:pStyle w:val="Normal"/>
        <w:snapToGrid w:val="false"/>
        <w:spacing w:lineRule="exact" w:line="560"/>
        <w:ind w:firstLineChars="0" w:firstLine="0" w:startChars="200" w:endChars="200"/>
        <w:rPr>
          <w:rFonts w:ascii="楷体_GB2312" w:hAnsi="楷体_GB2312" w:eastAsia="楷体_GB2312" w:hint="eastAsia"/>
          <w:color w:val="000000"/>
          <w:sz w:val="32"/>
          <w:szCs w:val="32"/>
        </w:rPr>
      </w:pPr>
      <w:r>
        <w:rPr>
          <w:rFonts w:ascii="楷体_GB2312" w:hAnsi="楷体_GB2312" w:hint="eastAsia" w:eastAsia="楷体_GB2312"/>
          <w:color w:val="000000"/>
          <w:sz w:val="32"/>
          <w:szCs w:val="32"/>
        </w:rPr>
        <w:t>（</w:t>
      </w:r>
      <w:r>
        <w:rPr>
          <w:rFonts w:eastAsia="楷体_GB2312" w:hint="eastAsia" w:ascii="楷体_GB2312" w:hAnsi="楷体_GB2312"/>
          <w:color w:val="000000"/>
          <w:sz w:val="32"/>
          <w:szCs w:val="32"/>
        </w:rPr>
        <w:t>2015</w:t>
      </w:r>
      <w:r>
        <w:rPr>
          <w:rFonts w:ascii="楷体_GB2312" w:hAnsi="楷体_GB2312" w:hint="eastAsia" w:eastAsia="楷体_GB2312"/>
          <w:color w:val="000000"/>
          <w:sz w:val="32"/>
          <w:szCs w:val="32"/>
        </w:rPr>
        <w:t>年</w:t>
      </w:r>
      <w:r>
        <w:rPr>
          <w:rFonts w:eastAsia="楷体_GB2312" w:hint="eastAsia" w:ascii="楷体_GB2312" w:hAnsi="楷体_GB2312"/>
          <w:color w:val="000000"/>
          <w:sz w:val="32"/>
          <w:szCs w:val="32"/>
        </w:rPr>
        <w:t>4</w:t>
      </w:r>
      <w:r>
        <w:rPr>
          <w:rFonts w:ascii="楷体_GB2312" w:hAnsi="楷体_GB2312" w:hint="eastAsia" w:eastAsia="楷体_GB2312"/>
          <w:color w:val="000000"/>
          <w:sz w:val="32"/>
          <w:szCs w:val="32"/>
        </w:rPr>
        <w:t>月</w:t>
      </w:r>
      <w:r>
        <w:rPr>
          <w:rFonts w:eastAsia="楷体_GB2312" w:hint="eastAsia" w:ascii="楷体_GB2312" w:hAnsi="楷体_GB2312"/>
          <w:color w:val="000000"/>
          <w:sz w:val="32"/>
          <w:szCs w:val="32"/>
        </w:rPr>
        <w:t>1</w:t>
      </w:r>
      <w:r>
        <w:rPr>
          <w:rFonts w:ascii="楷体_GB2312" w:hAnsi="楷体_GB2312" w:hint="eastAsia" w:eastAsia="楷体_GB2312"/>
          <w:color w:val="000000"/>
          <w:sz w:val="32"/>
          <w:szCs w:val="32"/>
        </w:rPr>
        <w:t>日厦门市第十四届人民代表大会常务委员会第二十五次会议通过）</w:t>
      </w:r>
    </w:p>
    <w:p>
      <w:pPr>
        <w:pStyle w:val="Normal"/>
        <w:snapToGrid w:val="false"/>
        <w:spacing w:lineRule="exact" w:line="560"/>
        <w:rPr>
          <w:rFonts w:ascii="宋体;SimSun" w:hAnsi="宋体;SimSun" w:eastAsia="楷体_GB2312" w:cs="宋体;SimSun" w:hint="eastAsia"/>
          <w:color w:val="000000"/>
          <w:sz w:val="32"/>
          <w:szCs w:val="32"/>
        </w:rPr>
      </w:pPr>
      <w:r>
        <w:rPr>
          <w:rFonts w:eastAsia="楷体_GB2312" w:cs="宋体;SimSun" w:hint="eastAsia" w:ascii="宋体;SimSun" w:hAnsi="宋体;SimSun"/>
          <w:color w:val="000000"/>
          <w:sz w:val="32"/>
          <w:szCs w:val="32"/>
        </w:rPr>
      </w:r>
    </w:p>
    <w:p>
      <w:pPr>
        <w:pStyle w:val="Normal"/>
        <w:snapToGrid w:val="false"/>
        <w:spacing w:lineRule="exact" w:line="56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hint="eastAsia" w:eastAsia="仿宋_GB2312"/>
          <w:color w:val="000000"/>
          <w:sz w:val="32"/>
          <w:szCs w:val="32"/>
        </w:rPr>
        <w:t>　　为了进一步深化改革、扩大开放，加快政府职能转变，依法推进中国（福建）自由贸易试验区厦门片区建设，厦门市第十四届人民代表大会常务委员会第二十五次会议决定：</w:t>
      </w:r>
    </w:p>
    <w:p>
      <w:pPr>
        <w:pStyle w:val="Normal"/>
        <w:snapToGrid w:val="false"/>
        <w:spacing w:lineRule="exact" w:line="56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hint="eastAsia" w:eastAsia="仿宋_GB2312"/>
          <w:color w:val="000000"/>
          <w:sz w:val="32"/>
          <w:szCs w:val="32"/>
        </w:rPr>
        <w:t>　　一、根据《全国人民代表大会常务委员会关于授权国务院在中国（广东）自由贸易试验区、中国（天津）自由贸易试验区、中国（福建）自由贸易试验区以及中国（上海）自由贸易试验区扩展区域暂时调整有关法律规定的行政审批的决定》的规定，在中国（福建）自由贸易试验区厦门片区内，暂时调整实施《厦门象屿保税区条例》第十一条有关企业设立的行政审批、第十二条有关企业分立、合并或者其他重要事项变更的行政审批、《厦门海沧台商投资区条例》第十一条有关企业设立的行政审批以及《厦门经济特区台湾同胞投资保障条例》第十六条有关台湾同胞投资者设立企业的行政审批，改为备案管理。</w:t>
      </w:r>
    </w:p>
    <w:p>
      <w:pPr>
        <w:pStyle w:val="Normal"/>
        <w:snapToGrid w:val="false"/>
        <w:spacing w:lineRule="exact" w:line="56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hint="eastAsia" w:eastAsia="仿宋_GB2312"/>
          <w:color w:val="000000"/>
          <w:sz w:val="32"/>
          <w:szCs w:val="32"/>
        </w:rPr>
        <w:t>　　凡法律、行政法规在中国（福建）自由贸易试验区厦门片区调整实施有关内容的，本市有关地方性法规作相应调整实施。</w:t>
      </w:r>
    </w:p>
    <w:p>
      <w:pPr>
        <w:pStyle w:val="Normal"/>
        <w:snapToGrid w:val="false"/>
        <w:spacing w:lineRule="exact" w:line="560"/>
        <w:rPr/>
      </w:pPr>
      <w:r>
        <w:rPr>
          <w:rFonts w:ascii="仿宋_GB2312" w:hAnsi="仿宋_GB2312" w:hint="eastAsia" w:eastAsia="仿宋_GB2312"/>
          <w:color w:val="000000"/>
          <w:sz w:val="32"/>
          <w:szCs w:val="32"/>
        </w:rPr>
        <w:t>　　二、本市其他有关地方性法规中的规定，凡与《中国（福建）自由贸易试验区总体方案》、《中国（福建）自由贸易试验区厦门片区实施方案》不一致的，调整实施。</w:t>
      </w:r>
    </w:p>
    <w:p>
      <w:pPr>
        <w:pStyle w:val="Normal"/>
        <w:snapToGrid w:val="false"/>
        <w:spacing w:lineRule="exact" w:line="56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hint="eastAsia" w:eastAsia="仿宋_GB2312"/>
          <w:color w:val="000000"/>
          <w:sz w:val="32"/>
          <w:szCs w:val="32"/>
        </w:rPr>
        <w:t>　　三、上述第一条有关地方性法规与法律、行政法规同步调整实施，第二条有关地方性法规的调整实施在三年内试行，对实践证明可行的，修改完善有关地方性法规；对实践证明不宜调整的，恢复施行有关地方性法规。</w:t>
      </w:r>
    </w:p>
    <w:p>
      <w:pPr>
        <w:pStyle w:val="Normal"/>
        <w:snapToGrid w:val="false"/>
        <w:spacing w:lineRule="exact" w:line="56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hint="eastAsia" w:eastAsia="仿宋_GB2312"/>
          <w:color w:val="000000"/>
          <w:sz w:val="32"/>
          <w:szCs w:val="32"/>
        </w:rPr>
        <w:t>　　本决定自公布之日起施行。</w:t>
      </w:r>
    </w:p>
    <w:p>
      <w:pPr>
        <w:pStyle w:val="Normal"/>
        <w:snapToGrid w:val="false"/>
        <w:spacing w:lineRule="exact" w:line="56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eastAsia="仿宋_GB2312" w:hint="eastAsia" w:ascii="仿宋_GB2312" w:hAnsi="仿宋_GB2312"/>
          <w:color w:val="000000"/>
          <w:sz w:val="32"/>
          <w:szCs w:val="32"/>
        </w:rPr>
      </w:r>
    </w:p>
    <w:sectPr>
      <w:footerReference w:type="default" r:id="rId2"/>
      <w:type w:val="nextPage"/>
      <w:pgSz w:w="11906" w:h="16838"/>
      <w:pgMar w:left="1587" w:right="1474" w:gutter="0" w:header="0" w:top="2098" w:footer="1531" w:bottom="198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宋体">
    <w:altName w:val="SimSun"/>
    <w:charset w:val="86"/>
    <w:family w:val="auto"/>
    <w:pitch w:val="variable"/>
  </w:font>
  <w:font w:name="楷体_GB2312">
    <w:charset w:val="86"/>
    <w:family w:val="modern"/>
    <w:pitch w:val="default"/>
  </w:font>
  <w:font w:name="仿宋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114935" distR="0" simplePos="0" relativeHeight="3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59690" cy="14097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90" cy="1409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napToGrid w:val="false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2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7pt;height:11.1pt;mso-wrap-distance-left:9.05pt;mso-wrap-distance-right:0pt;mso-wrap-distance-top:0pt;mso-wrap-distance-bottom:0pt;margin-top:0pt;mso-position-vertical-relative:text;margin-left:9.05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napToGrid w:val="false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rFonts w:hint="eastAsia"/>
                        <w:sz w:val="18"/>
                      </w:rPr>
                      <w:t>2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;SimSun" w:cs="Times New Roman"/>
      <w:color w:val="auto"/>
      <w:kern w:val="2"/>
      <w:sz w:val="21"/>
      <w:szCs w:val="22"/>
      <w:lang w:bidi="ar-SA" w:val="en-US" w:eastAsia="zh-C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2016-10-25T11:09:00Z</dcterms:created>
  <dc:creator>汪东升</dc:creator>
  <dc:description/>
  <cp:keywords/>
  <dc:language>en-US</dc:language>
  <cp:lastModifiedBy>汪东升</cp:lastModifiedBy>
  <dcterms:modified xsi:type="dcterms:W3CDTF">2017-03-23T08:56:00Z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