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jc w:val="start"/>
        <w:textAlignment w:val="auto"/>
        <w:rPr>
          <w:rFonts w:ascii="黑体" w:hAnsi="黑体" w:eastAsia="黑体" w:cs="黑体" w:hint="eastAsia"/>
          <w:sz w:val="32"/>
          <w:szCs w:val="32"/>
        </w:rPr>
      </w:pPr>
      <w:r>
        <w:rPr>
          <w:rFonts w:eastAsia="黑体" w:cs="黑体" w:hint="eastAsia" w:ascii="黑体" w:hAnsi="黑体"/>
          <w:sz w:val="32"/>
          <w:szCs w:val="32"/>
        </w:rPr>
      </w:r>
    </w:p>
    <w:p>
      <w:pPr>
        <w:pStyle w:val="Default"/>
        <w:keepNext w:val="false"/>
        <w:keepLines w:val="false"/>
        <w:pageBreakBefore w:val="false"/>
        <w:widowControl w:val="false"/>
        <w:kinsoku w:val="true"/>
        <w:overflowPunct w:val="true"/>
        <w:autoSpaceDE w:val="false"/>
        <w:bidi w:val="0"/>
        <w:snapToGrid w:val="true"/>
        <w:spacing w:lineRule="exact" w:line="48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福建省儿童乘坐机动车使用</w:t>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安全座椅的规定</w:t>
      </w:r>
    </w:p>
    <w:p>
      <w:pPr>
        <w:pStyle w:val="Normal"/>
        <w:keepNext w:val="false"/>
        <w:keepLines w:val="false"/>
        <w:pageBreakBefore w:val="false"/>
        <w:widowControl w:val="false"/>
        <w:kinsoku w:val="true"/>
        <w:overflowPunct w:val="true"/>
        <w:autoSpaceDE w:val="true"/>
        <w:bidi w:val="0"/>
        <w:snapToGrid w:val="true"/>
        <w:spacing w:lineRule="exact" w:line="540" w:before="157" w:after="0"/>
        <w:jc w:val="center"/>
        <w:textAlignment w:val="auto"/>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楷体_GB2312" w:hAnsi="楷体_GB2312" w:eastAsia="楷体_GB2312" w:hint="eastAsia"/>
          <w:sz w:val="32"/>
          <w:szCs w:val="32"/>
        </w:rPr>
      </w:pPr>
      <w:r>
        <w:rPr>
          <w:rFonts w:ascii="楷体_GB2312" w:hAnsi="楷体_GB2312" w:hint="eastAsia" w:eastAsia="楷体_GB2312"/>
          <w:sz w:val="32"/>
          <w:szCs w:val="32"/>
        </w:rPr>
        <w:t>常务委员会第二十七次会议通过）</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为保障儿童乘车安全，根据《中华人民共和国未成年人保护法》，制定本规定。</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一、父母等监护人或者其他成年亲友携带不满四周岁儿童驾驶或者乘坐小型、微型载客汽车，应当在车辆后排规范使用儿童安全座椅，儿童因疾病或者其他身体原因无法使用的除外。</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本规定所称儿童安全座椅包括符合国家标准的儿童安全座椅和其他儿童安全约束系统。</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二、公安机关交通管理部门应当将使用儿童安全座椅纳入机动车驾驶证考试内容，加强宣传和检查。</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驾驶培训学校、驾驶培训班应当对学员进行儿童安全座椅相关知识的培训。</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幼儿园应当将使用儿童安全座椅纳入道路安全教育内容，提高儿童乘车安全意识。</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新闻媒体应当加强儿童安全座椅使用的公益宣传，对违法行为进行舆论监督。</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三、父母等监护人或者其他成年亲友违反本规定的，由公安机关予以警告或者处一百元以下罚款。</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jc w:val="both"/>
        <w:textAlignment w:val="auto"/>
        <w:rPr/>
      </w:pPr>
      <w:r>
        <w:rPr>
          <w:rFonts w:ascii="仿宋_GB2312" w:hAnsi="仿宋_GB2312" w:cs="仿宋_GB2312" w:hint="eastAsia"/>
          <w:sz w:val="32"/>
          <w:szCs w:val="32"/>
        </w:rPr>
        <w:t>四、本规定自</w:t>
      </w:r>
      <w:r>
        <w:rPr>
          <w:rFonts w:cs="仿宋_GB2312" w:hint="eastAsia" w:ascii="仿宋_GB2312" w:hAnsi="仿宋_GB2312"/>
          <w:sz w:val="32"/>
          <w:szCs w:val="32"/>
        </w:rPr>
        <w:t>2022</w:t>
      </w:r>
      <w:r>
        <w:rPr>
          <w:rFonts w:ascii="仿宋_GB2312" w:hAnsi="仿宋_GB2312" w:cs="仿宋_GB2312" w:hint="eastAsia"/>
          <w:sz w:val="32"/>
          <w:szCs w:val="32"/>
        </w:rPr>
        <w:t>年</w:t>
      </w:r>
      <w:r>
        <w:rPr>
          <w:rFonts w:cs="仿宋_GB2312" w:hint="eastAsia" w:ascii="仿宋_GB2312" w:hAnsi="仿宋_GB2312"/>
          <w:sz w:val="32"/>
          <w:szCs w:val="32"/>
        </w:rPr>
        <w:t>1</w:t>
      </w:r>
      <w:r>
        <w:rPr>
          <w:rFonts w:ascii="仿宋_GB2312" w:hAnsi="仿宋_GB2312" w:cs="仿宋_GB2312" w:hint="eastAsia"/>
          <w:sz w:val="32"/>
          <w:szCs w:val="32"/>
        </w:rPr>
        <w:t>月</w:t>
      </w:r>
      <w:r>
        <w:rPr>
          <w:rFonts w:cs="仿宋_GB2312" w:hint="eastAsia" w:ascii="仿宋_GB2312" w:hAnsi="仿宋_GB2312"/>
          <w:sz w:val="32"/>
          <w:szCs w:val="32"/>
        </w:rPr>
        <w:t>1</w:t>
      </w:r>
      <w:r>
        <w:rPr>
          <w:rFonts w:ascii="仿宋_GB2312" w:hAnsi="仿宋_GB2312" w:cs="仿宋_GB2312" w:hint="eastAsia"/>
          <w:sz w:val="32"/>
          <w:szCs w:val="32"/>
        </w:rPr>
        <w:t>日起施行。</w:t>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Arial">
    <w:charset w:val="01"/>
    <w:family w:val="swiss"/>
    <w:pitch w:val="default"/>
  </w:font>
  <w:font w:name="仿宋">
    <w:charset w:val="86"/>
    <w:family w:val="modern"/>
    <w:pitch w:val="default"/>
  </w:font>
  <w:font w:name="宋体">
    <w:charset w:val="86"/>
    <w:family w:val="auto"/>
    <w:pitch w:val="default"/>
  </w:font>
  <w:font w:name="Liberation Sans">
    <w:altName w:val="Arial"/>
    <w:charset w:val="01" w:characterSet="utf-8"/>
    <w:family w:val="swiss"/>
    <w:pitch w:val="variable"/>
  </w:font>
  <w:font w:name="方正仿宋_GBK">
    <w:altName w:val="Arial Unicode MS"/>
    <w:charset w:val="86"/>
    <w:family w:val="script"/>
    <w:pitch w:val="default"/>
  </w:font>
  <w:font w:name="Tahoma">
    <w:charset w:val="00" w:characterSet="windows-1252"/>
    <w:family w:val="swiss"/>
    <w:pitch w:val="default"/>
  </w:font>
  <w:font w:name="黑体">
    <w:charset w:val="86"/>
    <w:family w:val="auto"/>
    <w:pitch w:val="default"/>
  </w:font>
  <w:font w:name="楷体_GB2312">
    <w:charset w:val="86"/>
    <w:family w:val="moder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tyle>
  <w:style w:type="character" w:styleId="1Char">
    <w:name w:val="标题 1 Char"/>
    <w:basedOn w:val="Style12"/>
    <w:qFormat/>
    <w:rPr>
      <w:b/>
      <w:bCs/>
      <w:kern w:val="2"/>
      <w:sz w:val="44"/>
      <w:szCs w:val="44"/>
    </w:rPr>
  </w:style>
  <w:style w:type="character" w:styleId="2Char">
    <w:name w:val="标题 2 Char"/>
    <w:basedOn w:val="Style12"/>
    <w:qFormat/>
    <w:rPr>
      <w:rFonts w:ascii="Arial" w:hAnsi="Arial" w:eastAsia="黑体" w:cs="Arial"/>
      <w:b/>
      <w:bCs/>
      <w:sz w:val="32"/>
      <w:szCs w:val="32"/>
    </w:rPr>
  </w:style>
  <w:style w:type="character" w:styleId="Char">
    <w:name w:val="日期 Char"/>
    <w:basedOn w:val="Style12"/>
    <w:qFormat/>
    <w:rPr>
      <w:rFonts w:ascii="Times New Roman" w:hAnsi="Times New Roman" w:eastAsia="仿宋_GB2312" w:cs="Times New Roman"/>
      <w:sz w:val="32"/>
      <w:szCs w:val="20"/>
    </w:rPr>
  </w:style>
  <w:style w:type="character" w:styleId="Char1">
    <w:name w:val="批注框文本 Char1"/>
    <w:basedOn w:val="Style12"/>
    <w:qFormat/>
    <w:rPr>
      <w:rFonts w:ascii="Times New Roman" w:hAnsi="Times New Roman" w:eastAsia="仿宋_GB2312" w:cs="Times New Roman"/>
      <w:sz w:val="18"/>
      <w:szCs w:val="18"/>
    </w:rPr>
  </w:style>
  <w:style w:type="character" w:styleId="Char2">
    <w:name w:val="页脚 Char"/>
    <w:basedOn w:val="Style12"/>
    <w:qFormat/>
    <w:rPr>
      <w:sz w:val="18"/>
      <w:szCs w:val="18"/>
    </w:rPr>
  </w:style>
  <w:style w:type="character" w:styleId="Char3">
    <w:name w:val="页眉 Char"/>
    <w:basedOn w:val="Style12"/>
    <w:qFormat/>
    <w:rPr>
      <w:sz w:val="18"/>
      <w:szCs w:val="18"/>
    </w:rPr>
  </w:style>
  <w:style w:type="character" w:styleId="2Char1">
    <w:name w:val="正文文本 2 Char"/>
    <w:basedOn w:val="Style12"/>
    <w:qFormat/>
    <w:rPr>
      <w:rFonts w:ascii="Times New Roman" w:hAnsi="Times New Roman" w:eastAsia="宋体" w:cs="Times New Roman"/>
      <w:b/>
      <w:bCs/>
      <w:sz w:val="44"/>
      <w:szCs w:val="24"/>
    </w:rPr>
  </w:style>
  <w:style w:type="character" w:styleId="Strong">
    <w:name w:val="Strong"/>
    <w:basedOn w:val="Style12"/>
    <w:qFormat/>
    <w:rPr>
      <w:b/>
      <w:bCs/>
    </w:rPr>
  </w:style>
  <w:style w:type="character" w:styleId="PageNumber">
    <w:name w:val="page number"/>
    <w:basedOn w:val="Style12"/>
    <w:rPr/>
  </w:style>
  <w:style w:type="character" w:styleId="Hyperlink">
    <w:name w:val="Hyperlink"/>
    <w:basedOn w:val="Style12"/>
    <w:rPr>
      <w:color w:val="0000FF"/>
      <w:u w:val="single"/>
    </w:rPr>
  </w:style>
  <w:style w:type="character" w:styleId="font71">
    <w:name w:val="font71"/>
    <w:basedOn w:val="Style12"/>
    <w:qFormat/>
    <w:rPr>
      <w:rFonts w:ascii="仿宋" w:hAnsi="仿宋" w:eastAsia="仿宋" w:cs="仿宋"/>
      <w:color w:val="000000"/>
      <w:sz w:val="20"/>
      <w:szCs w:val="20"/>
      <w:u w:val="none"/>
    </w:rPr>
  </w:style>
  <w:style w:type="character" w:styleId="font81">
    <w:name w:val="font81"/>
    <w:basedOn w:val="Style12"/>
    <w:qFormat/>
    <w:rPr>
      <w:rFonts w:ascii="宋体" w:hAnsi="宋体" w:eastAsia="宋体" w:cs="宋体" w:hint="eastAsia"/>
      <w:color w:val="000000"/>
      <w:sz w:val="20"/>
      <w:szCs w:val="20"/>
      <w:u w:val="none"/>
    </w:rPr>
  </w:style>
  <w:style w:type="character" w:styleId="font21">
    <w:name w:val="font21"/>
    <w:basedOn w:val="Style12"/>
    <w:qFormat/>
    <w:rPr>
      <w:rFonts w:ascii="仿宋" w:hAnsi="仿宋" w:eastAsia="仿宋" w:cs="仿宋"/>
      <w:color w:val="000000"/>
      <w:sz w:val="32"/>
      <w:szCs w:val="32"/>
      <w:u w:val="none"/>
    </w:rPr>
  </w:style>
  <w:style w:type="character" w:styleId="font41">
    <w:name w:val="font41"/>
    <w:basedOn w:val="Style12"/>
    <w:qFormat/>
    <w:rPr>
      <w:rFonts w:ascii="仿宋" w:hAnsi="仿宋" w:eastAsia="仿宋" w:cs="仿宋"/>
      <w:color w:val="000000"/>
      <w:sz w:val="24"/>
      <w:szCs w:val="24"/>
      <w:u w:val="none"/>
    </w:rPr>
  </w:style>
  <w:style w:type="character" w:styleId="NormalCharacter">
    <w:name w:val="NormalCharacter"/>
    <w:qFormat/>
    <w:rPr/>
  </w:style>
  <w:style w:type="character" w:styleId="normal105">
    <w:name w:val="normal105"/>
    <w:basedOn w:val="Style12"/>
    <w:qFormat/>
    <w:rPr>
      <w:rFonts w:ascii="Times New Roman" w:hAnsi="Times New Roman" w:eastAsia="宋体" w:cs="Times New Roman"/>
    </w:rPr>
  </w:style>
  <w:style w:type="character" w:styleId="Char4">
    <w:name w:val="批注框文本 Char"/>
    <w:basedOn w:val="Style12"/>
    <w:qFormat/>
    <w:rPr>
      <w:rFonts w:ascii="宋体" w:hAnsi="宋体" w:eastAsia="宋体" w:cs="宋体"/>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Char5">
    <w:name w:val="Char"/>
    <w:basedOn w:val="Normal"/>
    <w:qFormat/>
    <w:pPr>
      <w:widowControl/>
      <w:spacing w:lineRule="auto" w:line="360"/>
      <w:jc w:val="start"/>
    </w:pPr>
    <w:rPr/>
  </w:style>
  <w:style w:type="paragraph" w:styleId="6">
    <w:name w:val="索引 6"/>
    <w:basedOn w:val="Normal"/>
    <w:next w:val="Normal"/>
    <w:qFormat/>
    <w:pPr>
      <w:ind w:firstLineChars="0" w:firstLine="0" w:startChars="1000" w:endChars="0" w:end="0"/>
    </w:pPr>
    <w:rPr/>
  </w:style>
  <w:style w:type="paragraph" w:styleId="BodyTextIndent">
    <w:name w:val="Body Text Indent"/>
    <w:basedOn w:val="Normal"/>
    <w:pPr>
      <w:spacing w:before="0" w:after="120"/>
      <w:ind w:firstLineChars="0" w:firstLine="0" w:startChars="200" w:endChars="0" w:end="0"/>
    </w:pPr>
    <w:rPr/>
  </w:style>
  <w:style w:type="paragraph" w:styleId="Style13">
    <w:name w:val="纯文本"/>
    <w:basedOn w:val="Normal"/>
    <w:qFormat/>
    <w:pPr/>
    <w:rPr>
      <w:rFonts w:ascii="宋体" w:hAnsi="宋体" w:cs="Courier New"/>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rFonts w:ascii="宋体" w:hAnsi="宋体" w:eastAsia="宋体"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jc w:val="center"/>
    </w:pPr>
    <w:rPr>
      <w:rFonts w:eastAsia="宋体"/>
      <w:b/>
      <w:bCs/>
      <w:sz w:val="44"/>
      <w:szCs w:val="24"/>
    </w:rPr>
  </w:style>
  <w:style w:type="paragraph" w:styleId="Style16">
    <w:name w:val="普通(网站)"/>
    <w:basedOn w:val="Normal"/>
    <w:qFormat/>
    <w:pPr>
      <w:widowControl/>
      <w:spacing w:before="100" w:after="100"/>
      <w:jc w:val="start"/>
    </w:pPr>
    <w:rPr>
      <w:rFonts w:ascii="宋体" w:hAnsi="宋体" w:cs="宋体"/>
      <w:kern w:val="0"/>
      <w:sz w:val="24"/>
    </w:rPr>
  </w:style>
  <w:style w:type="paragraph" w:styleId="21">
    <w:name w:val="正文首行缩进 2"/>
    <w:basedOn w:val="Normal"/>
    <w:next w:val="Normal"/>
    <w:qFormat/>
    <w:pPr>
      <w:ind w:firstLineChars="200" w:startChars="0" w:start="0" w:endChars="0" w:end="0"/>
    </w:pPr>
    <w:rPr/>
  </w:style>
  <w:style w:type="paragraph" w:styleId="msonormalmsonormal">
    <w:name w:val="msonormal msonormal"/>
    <w:basedOn w:val="Normal"/>
    <w:qFormat/>
    <w:pPr>
      <w:widowControl/>
      <w:spacing w:before="100" w:after="100"/>
      <w:jc w:val="start"/>
    </w:pPr>
    <w:rPr>
      <w:rFonts w:ascii="宋体" w:hAnsi="宋体" w:cs="宋体"/>
      <w:kern w:val="0"/>
      <w:sz w:val="24"/>
      <w:szCs w:val="24"/>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p19">
    <w:name w:val="p19"/>
    <w:basedOn w:val="Normal"/>
    <w:next w:val="6"/>
    <w:qFormat/>
    <w:pPr>
      <w:widowControl/>
    </w:pPr>
    <w:rPr>
      <w:rFonts w:eastAsia="宋体"/>
      <w:kern w:val="0"/>
      <w:sz w:val="21"/>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2021-06-16T09:57:00Z</cp:lastPrinted>
  <dcterms:modified xsi:type="dcterms:W3CDTF">2021-06-21T17:26:35Z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1D4CD8E939574BF98FE2B46B2E229A2D</vt:lpwstr>
  </property>
  <property fmtid="{D5CDD505-2E9C-101B-9397-08002B2CF9AE}" pid="3" name="KSOProductBuildVer">
    <vt:lpwstr>2052-11.1.0.10495</vt:lpwstr>
  </property>
</Properties>
</file>