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kinsoku w:val="true"/>
        <w:overflowPunct w:val="true"/>
        <w:autoSpaceDE w:val="true"/>
        <w:bidi w:val="0"/>
        <w:snapToGrid w:val="false"/>
        <w:spacing w:lineRule="exact" w:line="570"/>
        <w:jc w:val="center"/>
        <w:textAlignment w:val="auto"/>
        <w:rPr>
          <w:rFonts w:ascii="方正大标宋简体;Arial Unicode MS" w:hAnsi="方正大标宋简体;Arial Unicode MS" w:eastAsia="方正大标宋简体;Arial Unicode MS" w:cs="方正大标宋简体;Arial Unicode MS" w:hint="eastAsia"/>
          <w:b w:val="false"/>
          <w:bCs w:val="false"/>
          <w:color w:val="000000"/>
          <w:sz w:val="44"/>
          <w:szCs w:val="44"/>
        </w:rPr>
      </w:pPr>
      <w:r>
        <w:rPr>
          <w:rFonts w:eastAsia="方正大标宋简体;Arial Unicode MS" w:cs="方正大标宋简体;Arial Unicode MS" w:hint="eastAsia" w:ascii="方正大标宋简体;Arial Unicode MS" w:hAnsi="方正大标宋简体;Arial Unicode MS"/>
          <w:b w:val="false"/>
          <w:bCs w:val="false"/>
          <w:color w:val="000000"/>
          <w:sz w:val="44"/>
          <w:szCs w:val="44"/>
        </w:rPr>
      </w:r>
    </w:p>
    <w:p>
      <w:pPr>
        <w:pStyle w:val="Normal"/>
        <w:keepNext w:val="false"/>
        <w:keepLines w:val="false"/>
        <w:pageBreakBefore w:val="false"/>
        <w:kinsoku w:val="true"/>
        <w:overflowPunct w:val="true"/>
        <w:autoSpaceDE w:val="true"/>
        <w:bidi w:val="0"/>
        <w:snapToGrid w:val="false"/>
        <w:spacing w:lineRule="exact" w:line="570"/>
        <w:jc w:val="center"/>
        <w:textAlignment w:val="auto"/>
        <w:rPr>
          <w:rFonts w:ascii="宋体" w:hAnsi="宋体" w:eastAsia="宋体" w:cs="宋体" w:hint="eastAsia"/>
          <w:b w:val="false"/>
          <w:bCs w:val="false"/>
          <w:color w:val="000000"/>
          <w:sz w:val="44"/>
          <w:szCs w:val="44"/>
        </w:rPr>
      </w:pPr>
      <w:r>
        <w:rPr>
          <w:rFonts w:ascii="宋体" w:hAnsi="宋体" w:cs="宋体" w:hint="eastAsia"/>
          <w:b w:val="false"/>
          <w:bCs w:val="false"/>
          <w:color w:val="000000"/>
          <w:sz w:val="44"/>
          <w:szCs w:val="44"/>
        </w:rPr>
        <w:t>厦门经济特区老年人权益保障规定</w:t>
      </w:r>
    </w:p>
    <w:p>
      <w:pPr>
        <w:pStyle w:val="2"/>
        <w:rPr>
          <w:rFonts w:ascii="宋体" w:hAnsi="宋体" w:eastAsia="宋体" w:cs="宋体" w:hint="eastAsia"/>
          <w:b w:val="false"/>
          <w:bCs w:val="false"/>
          <w:color w:val="000000"/>
          <w:sz w:val="44"/>
          <w:szCs w:val="44"/>
        </w:rPr>
      </w:pPr>
      <w:r>
        <w:rPr>
          <w:rFonts w:eastAsia="宋体" w:cs="宋体" w:hint="eastAsia" w:ascii="宋体" w:hAnsi="宋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both"/>
        <w:textAlignment w:val="auto"/>
        <w:rPr>
          <w:rFonts w:ascii="CESI楷体-GB2312;宋体" w:hAnsi="CESI楷体-GB2312;宋体" w:eastAsia="CESI楷体-GB2312;宋体" w:cs="CESI楷体-GB2312;宋体" w:hint="eastAsia"/>
          <w:color w:val="000000"/>
          <w:sz w:val="32"/>
          <w:szCs w:val="32"/>
        </w:rPr>
      </w:pPr>
      <w:r>
        <w:rPr>
          <w:rFonts w:ascii="CESI楷体-GB2312;宋体" w:hAnsi="CESI楷体-GB2312;宋体" w:cs="CESI楷体-GB2312;宋体" w:hint="eastAsia" w:eastAsia="CESI楷体-GB2312;宋体"/>
          <w:color w:val="000000"/>
          <w:sz w:val="32"/>
          <w:szCs w:val="32"/>
        </w:rPr>
        <w:t>（</w:t>
      </w:r>
      <w:r>
        <w:rPr>
          <w:rFonts w:eastAsia="CESI楷体-GB2312;宋体" w:cs="CESI楷体-GB2312;宋体" w:hint="eastAsia" w:ascii="CESI楷体-GB2312;宋体" w:hAnsi="CESI楷体-GB2312;宋体"/>
          <w:color w:val="000000"/>
          <w:sz w:val="32"/>
          <w:szCs w:val="32"/>
        </w:rPr>
        <w:t>2021</w:t>
      </w:r>
      <w:r>
        <w:rPr>
          <w:rFonts w:ascii="CESI楷体-GB2312;宋体" w:hAnsi="CESI楷体-GB2312;宋体" w:cs="CESI楷体-GB2312;宋体" w:hint="eastAsia" w:eastAsia="CESI楷体-GB2312;宋体"/>
          <w:color w:val="000000"/>
          <w:sz w:val="32"/>
          <w:szCs w:val="32"/>
        </w:rPr>
        <w:t>年</w:t>
      </w:r>
      <w:r>
        <w:rPr>
          <w:rFonts w:eastAsia="CESI楷体-GB2312;宋体" w:cs="CESI楷体-GB2312;宋体" w:hint="eastAsia" w:ascii="CESI楷体-GB2312;宋体" w:hAnsi="CESI楷体-GB2312;宋体"/>
          <w:color w:val="000000"/>
          <w:sz w:val="32"/>
          <w:szCs w:val="32"/>
        </w:rPr>
        <w:t>6</w:t>
      </w:r>
      <w:r>
        <w:rPr>
          <w:rFonts w:ascii="CESI楷体-GB2312;宋体" w:hAnsi="CESI楷体-GB2312;宋体" w:cs="CESI楷体-GB2312;宋体" w:hint="eastAsia" w:eastAsia="CESI楷体-GB2312;宋体"/>
          <w:color w:val="000000"/>
          <w:sz w:val="32"/>
          <w:szCs w:val="32"/>
        </w:rPr>
        <w:t>月</w:t>
      </w:r>
      <w:r>
        <w:rPr>
          <w:rFonts w:eastAsia="CESI楷体-GB2312;宋体" w:cs="CESI楷体-GB2312;宋体" w:hint="eastAsia" w:ascii="CESI楷体-GB2312;宋体" w:hAnsi="CESI楷体-GB2312;宋体"/>
          <w:color w:val="000000"/>
          <w:sz w:val="32"/>
          <w:szCs w:val="32"/>
        </w:rPr>
        <w:t>24</w:t>
      </w:r>
      <w:r>
        <w:rPr>
          <w:rFonts w:ascii="CESI楷体-GB2312;宋体" w:hAnsi="CESI楷体-GB2312;宋体" w:cs="CESI楷体-GB2312;宋体" w:hint="eastAsia" w:eastAsia="CESI楷体-GB2312;宋体"/>
          <w:color w:val="000000"/>
          <w:sz w:val="32"/>
          <w:szCs w:val="32"/>
        </w:rPr>
        <w:t>日厦门市第十五届人民代表大会</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both"/>
        <w:textAlignment w:val="auto"/>
        <w:rPr>
          <w:rFonts w:ascii="CESI楷体-GB2312;宋体" w:hAnsi="CESI楷体-GB2312;宋体" w:eastAsia="CESI楷体-GB2312;宋体" w:cs="CESI楷体-GB2312;宋体" w:hint="eastAsia"/>
          <w:color w:val="000000"/>
          <w:sz w:val="32"/>
          <w:szCs w:val="32"/>
        </w:rPr>
      </w:pPr>
      <w:r>
        <w:rPr>
          <w:rFonts w:ascii="CESI楷体-GB2312;宋体" w:hAnsi="CESI楷体-GB2312;宋体" w:cs="CESI楷体-GB2312;宋体" w:hint="eastAsia" w:eastAsia="CESI楷体-GB2312;宋体"/>
          <w:color w:val="000000"/>
          <w:sz w:val="32"/>
          <w:szCs w:val="32"/>
        </w:rPr>
        <w:t>常务委员会第四十三次会议通过）</w:t>
      </w:r>
    </w:p>
    <w:p>
      <w:pPr>
        <w:pStyle w:val="Normal"/>
        <w:keepNext w:val="false"/>
        <w:keepLines w:val="false"/>
        <w:pageBreakBefore w:val="false"/>
        <w:widowControl w:val="false"/>
        <w:pBdr/>
        <w:kinsoku w:val="true"/>
        <w:overflowPunct w:val="true"/>
        <w:autoSpaceDE w:val="true"/>
        <w:bidi w:val="0"/>
        <w:snapToGrid w:val="true"/>
        <w:spacing w:lineRule="exact" w:line="570"/>
        <w:jc w:val="center"/>
        <w:textAlignment w:val="auto"/>
        <w:rPr>
          <w:rFonts w:ascii="仿宋_GB2312;仿宋" w:hAnsi="仿宋_GB2312;仿宋" w:eastAsia="仿宋_GB2312;仿宋" w:cs="CESI楷体-GB2312;宋体" w:hint="eastAsia"/>
          <w:vanish w:val="false"/>
          <w:color w:val="000000"/>
          <w:kern w:val="2"/>
          <w:sz w:val="32"/>
          <w:szCs w:val="32"/>
        </w:rPr>
      </w:pPr>
      <w:r>
        <w:rPr>
          <w:rFonts w:eastAsia="仿宋_GB2312;仿宋" w:cs="CESI楷体-GB2312;宋体" w:hint="eastAsia" w:ascii="仿宋_GB2312;仿宋" w:hAnsi="仿宋_GB2312;仿宋"/>
          <w:vanish w:val="false"/>
          <w:color w:val="000000"/>
          <w:kern w:val="2"/>
          <w:sz w:val="32"/>
          <w:szCs w:val="32"/>
        </w:rPr>
      </w:r>
    </w:p>
    <w:p>
      <w:pPr>
        <w:pStyle w:val="Normal"/>
        <w:keepNext w:val="false"/>
        <w:keepLines w:val="false"/>
        <w:pageBreakBefore w:val="false"/>
        <w:kinsoku w:val="true"/>
        <w:overflowPunct w:val="true"/>
        <w:autoSpaceDE w:val="true"/>
        <w:bidi w:val="0"/>
        <w:spacing w:lineRule="exact" w:line="570"/>
        <w:jc w:val="center"/>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目  录</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第一章  总则</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第二章  社会保障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第三章  养老服务</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第四章  社会优待</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第五章  宜居环境</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color w:val="000000"/>
          <w:sz w:val="32"/>
          <w:szCs w:val="32"/>
          <w:u w:val="none"/>
        </w:rPr>
      </w:pPr>
      <w:r>
        <w:rPr>
          <w:rFonts w:ascii="楷体" w:hAnsi="楷体" w:cs="仿宋" w:hint="eastAsia" w:eastAsia="楷体"/>
          <w:color w:val="000000"/>
          <w:sz w:val="32"/>
          <w:szCs w:val="32"/>
          <w:u w:val="none"/>
        </w:rPr>
        <w:t>第六章  参与社会发展</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 w:hAnsi="楷体" w:eastAsia="楷体" w:cs="仿宋" w:hint="eastAsia"/>
          <w:color w:val="000000"/>
          <w:sz w:val="32"/>
          <w:szCs w:val="32"/>
          <w:u w:val="none"/>
        </w:rPr>
      </w:pPr>
      <w:r>
        <w:rPr>
          <w:rFonts w:ascii="楷体" w:hAnsi="楷体" w:cs="仿宋" w:hint="eastAsia" w:eastAsia="楷体"/>
          <w:color w:val="000000"/>
          <w:sz w:val="32"/>
          <w:szCs w:val="32"/>
          <w:u w:val="none"/>
        </w:rPr>
        <w:t>第七章  法律责任</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hint="eastAsia"/>
          <w:color w:val="000000"/>
        </w:rPr>
      </w:pPr>
      <w:r>
        <w:rPr>
          <w:rFonts w:ascii="楷体" w:hAnsi="楷体" w:cs="仿宋" w:hint="eastAsia" w:eastAsia="楷体"/>
          <w:color w:val="000000"/>
          <w:sz w:val="32"/>
          <w:szCs w:val="32"/>
          <w:u w:val="none"/>
        </w:rPr>
        <w:t>第八章  附则</w:t>
      </w:r>
    </w:p>
    <w:p>
      <w:pPr>
        <w:pStyle w:val="Normal"/>
        <w:snapToGrid w:val="false"/>
        <w:spacing w:lineRule="exact" w:line="570" w:before="435" w:after="435"/>
        <w:jc w:val="center"/>
        <w:rPr>
          <w:rFonts w:ascii="方正仿宋_GBK;Arial Unicode MS" w:hAnsi="方正仿宋_GBK;Arial Unicode MS" w:eastAsia="方正仿宋_GBK;Arial Unicode MS" w:cs="方正仿宋_GBK;Arial Unicode MS" w:hint="eastAsia"/>
          <w:b/>
          <w:bCs/>
          <w:vanish w:val="false"/>
          <w:color w:val="000000"/>
          <w:kern w:val="2"/>
          <w:sz w:val="32"/>
          <w:szCs w:val="32"/>
          <w:u w:val="none"/>
        </w:rPr>
      </w:pPr>
      <w:r>
        <w:rPr>
          <w:rFonts w:ascii="黑体" w:hAnsi="黑体" w:cs="宋体" w:hint="eastAsia" w:eastAsia="黑体"/>
          <w:kern w:val="0"/>
        </w:rPr>
        <w:t>第一章  总则</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第一条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为了保障老年人合法权益，发展老龄事业，贯彻落实积极应对人口老龄化国家战略，弘扬中华民族养老、</w:t>
      </w:r>
      <w:r>
        <w:rPr>
          <w:rFonts w:ascii="CESI仿宋-GB2312;仿宋" w:hAnsi="CESI仿宋-GB2312;仿宋" w:cs="CESI仿宋-GB2312;仿宋" w:hint="eastAsia" w:eastAsia="CESI仿宋-GB2312;仿宋"/>
          <w:b w:val="false"/>
          <w:bCs w:val="false"/>
          <w:i w:val="false"/>
          <w:iCs w:val="false"/>
          <w:color w:val="000000"/>
          <w:sz w:val="32"/>
          <w:szCs w:val="32"/>
          <w:u w:val="none"/>
        </w:rPr>
        <w:t>孝老、敬老</w:t>
      </w:r>
      <w:r>
        <w:rPr>
          <w:rFonts w:ascii="CESI仿宋-GB2312;仿宋" w:hAnsi="CESI仿宋-GB2312;仿宋" w:cs="CESI仿宋-GB2312;仿宋" w:hint="eastAsia" w:eastAsia="CESI仿宋-GB2312;仿宋"/>
          <w:i w:val="false"/>
          <w:iCs w:val="false"/>
          <w:color w:val="000000"/>
          <w:sz w:val="32"/>
          <w:szCs w:val="32"/>
          <w:u w:val="none"/>
        </w:rPr>
        <w:t>的美德，遵循《中华人民共和国老年人权益保障法》等法律、行政法规的基本原则，结合厦门经济特区实际，制定本规定。</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bdr w:val="single" w:sz="4" w:space="0" w:color="000000"/>
          <w:shd w:fill="E5E5E5" w:val="clear"/>
        </w:rPr>
      </w:pPr>
      <w:r>
        <w:rPr>
          <w:rFonts w:ascii="黑体" w:hAnsi="黑体" w:cs="黑体" w:hint="eastAsia" w:eastAsia="黑体"/>
          <w:b w:val="false"/>
          <w:bCs w:val="false"/>
          <w:i w:val="false"/>
          <w:iCs w:val="false"/>
          <w:color w:val="000000"/>
          <w:sz w:val="32"/>
          <w:szCs w:val="32"/>
          <w:u w:val="none"/>
        </w:rPr>
        <w:t xml:space="preserve">第二条 </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b w:val="false"/>
          <w:bCs w:val="false"/>
          <w:i w:val="false"/>
          <w:iCs w:val="false"/>
          <w:color w:val="000000"/>
          <w:sz w:val="32"/>
          <w:szCs w:val="32"/>
          <w:u w:val="none"/>
        </w:rPr>
        <w:t>本规定所称老年人是指六十周岁以上的公民。</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第三条 </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保障老年人合法权益是全社会的共同责任。</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第四条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市、区人民政府应当将老龄事业纳入国民经济和社会发展规划，制定老龄事业发展规划和年度计划，建立与经济社会发展水平和老龄化程度相适应的稳定的经费保障机制，将老龄事业经费列入政府年度财政预算。</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福利彩票公益金本级留存部分的百分之六十以上用于发展养</w:t>
      </w:r>
      <w:r>
        <w:rPr>
          <w:rFonts w:ascii="CESI仿宋-GB2312;仿宋" w:hAnsi="CESI仿宋-GB2312;仿宋" w:cs="CESI仿宋-GB2312;仿宋" w:hint="eastAsia" w:eastAsia="CESI仿宋-GB2312;仿宋"/>
          <w:i w:val="false"/>
          <w:iCs w:val="false"/>
          <w:color w:val="000000"/>
          <w:sz w:val="32"/>
          <w:szCs w:val="32"/>
          <w:u w:val="none"/>
          <w:shd w:fill="auto" w:val="clear"/>
        </w:rPr>
        <w:t>老</w:t>
      </w:r>
      <w:r>
        <w:rPr>
          <w:rFonts w:ascii="CESI仿宋-GB2312;仿宋" w:hAnsi="CESI仿宋-GB2312;仿宋" w:cs="CESI仿宋-GB2312;仿宋" w:hint="eastAsia" w:eastAsia="CESI仿宋-GB2312;仿宋"/>
          <w:i w:val="false"/>
          <w:iCs w:val="false"/>
          <w:color w:val="000000"/>
          <w:sz w:val="32"/>
          <w:szCs w:val="32"/>
          <w:u w:val="none"/>
        </w:rPr>
        <w:t>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第五条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市、区人民政府负责老龄工作的机构，负责组织、协调、指导、督促有关部门按照各自职责做好老年人权益保障和服务工作。</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民政、发展改革、公安、财政、人力资源和社会保障、资源规划、建设、医疗保障、住房保障等部门应当按照各自职责做好老年人权益保障相关工作。</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镇人民政府（街道办事处）应当确定专门人员负责老年人权益保障和服务工作，并提供必要的工作经费和条件。</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村（居）民委员会以及依法设立的老年人组织应当反映老年人的诉求，维护老年人的合法权益。</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第六条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开展人口老龄化国情教育，增强全社会积极应对人口老龄化意识。</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全社会应当广泛开展养老、孝老、敬老宣传教育活动，树立尊重、关心、帮助老年人的社会风尚，提高维护老年人合法权益的意识，把弘扬孝亲敬老纳入社会主义核心价值观宣传教育，融入文明城市创建和爱心厦门建设。</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青少年组织、学校和幼儿园应当进行养老、孝老、敬老的道德教育和维护老年人合法权益的法治教育。</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广播、电视、报刊、网络等媒体应当开展老年人合法权益宣传，为老年人服务。</w:t>
      </w:r>
    </w:p>
    <w:p>
      <w:pPr>
        <w:pStyle w:val="2"/>
        <w:keepNext w:val="false"/>
        <w:keepLines w:val="false"/>
        <w:pageBreakBefore w:val="false"/>
        <w:widowControl w:val="false"/>
        <w:kinsoku w:val="true"/>
        <w:autoSpaceDE w:val="true"/>
        <w:bidi w:val="0"/>
        <w:snapToGrid w:val="true"/>
        <w:spacing w:lineRule="exact" w:line="570"/>
        <w:textAlignment w:val="auto"/>
        <w:rPr>
          <w:rFonts w:eastAsia="CESI仿宋-GB2312;仿宋" w:hint="eastAsia"/>
          <w:u w:val="none"/>
        </w:rPr>
      </w:pPr>
      <w:r>
        <w:rPr>
          <w:rFonts w:ascii="CESI仿宋-GB2312;仿宋" w:hAnsi="CESI仿宋-GB2312;仿宋" w:cs="CESI仿宋-GB2312;仿宋" w:hint="eastAsia" w:eastAsia="CESI仿宋-GB2312;仿宋"/>
          <w:i w:val="false"/>
          <w:iCs w:val="false"/>
          <w:color w:val="000000"/>
          <w:sz w:val="32"/>
          <w:szCs w:val="32"/>
          <w:u w:val="none"/>
        </w:rPr>
        <w:t>鼓励发展老年慈善事业，提倡义务为老年人服务。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b w:val="false"/>
          <w:bCs w:val="false"/>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第七条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 xml:space="preserve">市、区人民政府和有关部门对维护老年人合法权益和养老、孝老、敬老成绩显著的组织、家庭或者个人，以及对社会发展做出突出贡献的老年人，按照有关规定给予表彰或者奖励。 </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color w:val="000000"/>
          <w:u w:val="none"/>
        </w:rPr>
      </w:pPr>
      <w:r>
        <w:rPr>
          <w:rFonts w:ascii="黑体" w:hAnsi="黑体" w:cs="黑体" w:hint="eastAsia" w:eastAsia="黑体"/>
          <w:b w:val="false"/>
          <w:bCs w:val="false"/>
          <w:i w:val="false"/>
          <w:iCs w:val="false"/>
          <w:color w:val="000000"/>
          <w:sz w:val="32"/>
          <w:szCs w:val="32"/>
          <w:u w:val="none"/>
        </w:rPr>
        <w:t>第八条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每年老年节当月为本市的“敬老月”，集中宣传和开展敬老、助老活动。</w:t>
      </w:r>
    </w:p>
    <w:p>
      <w:pPr>
        <w:pStyle w:val="Normal"/>
        <w:snapToGrid w:val="false"/>
        <w:spacing w:lineRule="exact" w:line="570" w:before="435" w:after="435"/>
        <w:jc w:val="center"/>
        <w:rPr>
          <w:rFonts w:ascii="黑体" w:hAnsi="黑体" w:eastAsia="黑体" w:cs="宋体" w:hint="eastAsia"/>
          <w:kern w:val="0"/>
        </w:rPr>
      </w:pPr>
      <w:r>
        <w:rPr>
          <w:rFonts w:ascii="黑体" w:hAnsi="黑体" w:cs="宋体" w:hint="eastAsia" w:eastAsia="黑体"/>
          <w:kern w:val="0"/>
        </w:rPr>
        <w:t>第二章  社会保障</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b/>
          <w:bCs/>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第九条 </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稳步建立长期护理保险制度。</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区人民政府按照规定为辖区户籍老年人购买人身意外伤害保险。</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 xml:space="preserve">医疗救助对象中符合资助参加城乡居民基本医疗保险条件的本市户籍老年人，且在异地未享受医保待遇的，纳入城乡居民基本医疗保险；其个人缴费的部分，由市、区人民政府依照规定给予资助。    </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b/>
          <w:bCs/>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第十条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对符合计划生育扶助条件的本市户籍老年人，按照规定发放奖励扶助金或者特别扶助金。</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独生子女伤残或者死亡家庭的本市户籍老年人可以优先入住政府投资的养老机构。</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bdr w:val="single" w:sz="4" w:space="0" w:color="000000"/>
          <w:shd w:fill="E5E5E5" w:val="clear"/>
        </w:rPr>
      </w:pPr>
      <w:r>
        <w:rPr>
          <w:rFonts w:ascii="黑体" w:hAnsi="黑体" w:cs="黑体" w:hint="eastAsia" w:eastAsia="黑体"/>
          <w:b w:val="false"/>
          <w:bCs w:val="false"/>
          <w:i w:val="false"/>
          <w:iCs w:val="false"/>
          <w:color w:val="000000"/>
          <w:sz w:val="32"/>
          <w:szCs w:val="32"/>
          <w:u w:val="none"/>
        </w:rPr>
        <w:t>第十一条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完善社会救助制度，根据老年人家庭经济状况或者实际困难，</w:t>
      </w:r>
      <w:r>
        <w:rPr>
          <w:rFonts w:ascii="CESI仿宋-GB2312;仿宋" w:hAnsi="CESI仿宋-GB2312;仿宋" w:cs="CESI仿宋-GB2312;仿宋" w:hint="eastAsia" w:eastAsia="CESI仿宋-GB2312;仿宋"/>
          <w:i w:val="false"/>
          <w:iCs w:val="false"/>
          <w:color w:val="000000"/>
          <w:sz w:val="32"/>
          <w:szCs w:val="32"/>
          <w:u w:val="none"/>
          <w:shd w:fill="auto" w:val="clear"/>
        </w:rPr>
        <w:t>对本市户籍老年人</w:t>
      </w:r>
      <w:r>
        <w:rPr>
          <w:rFonts w:ascii="CESI仿宋-GB2312;仿宋" w:hAnsi="CESI仿宋-GB2312;仿宋" w:cs="CESI仿宋-GB2312;仿宋" w:hint="eastAsia" w:eastAsia="CESI仿宋-GB2312;仿宋"/>
          <w:i w:val="false"/>
          <w:iCs w:val="false"/>
          <w:color w:val="000000"/>
          <w:sz w:val="32"/>
          <w:szCs w:val="32"/>
          <w:u w:val="none"/>
        </w:rPr>
        <w:t>分类</w:t>
      </w:r>
      <w:r>
        <w:rPr>
          <w:rFonts w:ascii="CESI仿宋-GB2312;仿宋" w:hAnsi="CESI仿宋-GB2312;仿宋" w:cs="CESI仿宋-GB2312;仿宋" w:hint="eastAsia" w:eastAsia="CESI仿宋-GB2312;仿宋"/>
          <w:i w:val="false"/>
          <w:iCs w:val="false"/>
          <w:color w:val="000000"/>
          <w:sz w:val="32"/>
          <w:szCs w:val="32"/>
          <w:u w:val="none"/>
          <w:shd w:fill="auto" w:val="clear"/>
        </w:rPr>
        <w:t>给予</w:t>
      </w:r>
      <w:r>
        <w:rPr>
          <w:rFonts w:ascii="CESI仿宋-GB2312;仿宋" w:hAnsi="CESI仿宋-GB2312;仿宋" w:cs="CESI仿宋-GB2312;仿宋" w:hint="eastAsia" w:eastAsia="CESI仿宋-GB2312;仿宋"/>
          <w:i w:val="false"/>
          <w:iCs w:val="false"/>
          <w:color w:val="000000"/>
          <w:sz w:val="32"/>
          <w:szCs w:val="32"/>
          <w:u w:val="none"/>
        </w:rPr>
        <w:t>社会</w:t>
      </w:r>
      <w:r>
        <w:rPr>
          <w:rFonts w:ascii="CESI仿宋-GB2312;仿宋" w:hAnsi="CESI仿宋-GB2312;仿宋" w:cs="CESI仿宋-GB2312;仿宋" w:hint="eastAsia" w:eastAsia="CESI仿宋-GB2312;仿宋"/>
          <w:i w:val="false"/>
          <w:iCs w:val="false"/>
          <w:color w:val="000000"/>
          <w:sz w:val="32"/>
          <w:szCs w:val="32"/>
          <w:u w:val="none"/>
          <w:shd w:fill="auto" w:val="clear"/>
        </w:rPr>
        <w:t>救助。</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bdr w:val="single" w:sz="4" w:space="0" w:color="000000"/>
          <w:shd w:fill="E5E5E5" w:val="clear"/>
        </w:rPr>
      </w:pPr>
      <w:r>
        <w:rPr>
          <w:rFonts w:ascii="CESI仿宋-GB2312;仿宋" w:hAnsi="CESI仿宋-GB2312;仿宋" w:cs="CESI仿宋-GB2312;仿宋" w:hint="eastAsia" w:eastAsia="CESI仿宋-GB2312;仿宋"/>
          <w:i w:val="false"/>
          <w:iCs w:val="false"/>
          <w:color w:val="000000"/>
          <w:sz w:val="32"/>
          <w:szCs w:val="32"/>
          <w:u w:val="none"/>
        </w:rPr>
        <w:t>对生活不能自理、经济困难的本市户籍老年人，根据其失能程度以及其他情况给予相应的护理补贴。</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对特困的本市户籍老年人实施救助供养，做到应保尽保。选择集中供养的，安排入住市、区两级福利机构。</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对属于最低生活保障对象的本市户籍老年人，七十周岁以上的增发城乡最低生活保障标准百分之二十以上的保障金，八十周岁以上的再加发补贴。</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b/>
          <w:bCs/>
          <w:i w:val="false"/>
          <w:iCs w:val="false"/>
          <w:color w:val="000000"/>
          <w:sz w:val="32"/>
          <w:szCs w:val="32"/>
          <w:u w:val="none"/>
          <w:lang w:val="en"/>
        </w:rPr>
      </w:pPr>
      <w:r>
        <w:rPr>
          <w:rFonts w:ascii="黑体" w:hAnsi="黑体" w:cs="黑体" w:hint="eastAsia" w:eastAsia="黑体"/>
          <w:b w:val="false"/>
          <w:bCs w:val="false"/>
          <w:i w:val="false"/>
          <w:iCs w:val="false"/>
          <w:color w:val="000000"/>
          <w:sz w:val="32"/>
          <w:szCs w:val="32"/>
          <w:u w:val="none"/>
        </w:rPr>
        <w:t>第十二条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建立老年人津贴制度，向八十周岁以上的本市户籍老年人发放高龄津贴。发放范围和标准</w:t>
      </w:r>
      <w:r>
        <w:rPr>
          <w:rFonts w:ascii="CESI仿宋-GB2312;仿宋" w:hAnsi="CESI仿宋-GB2312;仿宋" w:cs="CESI仿宋-GB2312;仿宋" w:hint="eastAsia" w:eastAsia="CESI仿宋-GB2312;仿宋"/>
          <w:b w:val="false"/>
          <w:bCs w:val="false"/>
          <w:i w:val="false"/>
          <w:iCs w:val="false"/>
          <w:color w:val="000000"/>
          <w:sz w:val="32"/>
          <w:szCs w:val="32"/>
          <w:u w:val="none"/>
        </w:rPr>
        <w:t>应当</w:t>
      </w:r>
      <w:r>
        <w:rPr>
          <w:rFonts w:ascii="CESI仿宋-GB2312;仿宋" w:hAnsi="CESI仿宋-GB2312;仿宋" w:cs="CESI仿宋-GB2312;仿宋" w:hint="eastAsia" w:eastAsia="CESI仿宋-GB2312;仿宋"/>
          <w:i w:val="false"/>
          <w:iCs w:val="false"/>
          <w:color w:val="000000"/>
          <w:sz w:val="32"/>
          <w:szCs w:val="32"/>
          <w:u w:val="none"/>
        </w:rPr>
        <w:t>根据本市经济社会发展情况适时调整。</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第十三条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老年人患病住院治疗期间，子女所在用人单位应当支持其对老年人进行护理照料。</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独生子女的老年父母患病住院治疗期间，其子女可以享受每年累计不超过十天的照护假，照护期间工资福利待遇不变。</w:t>
      </w:r>
    </w:p>
    <w:p>
      <w:pPr>
        <w:pStyle w:val="2"/>
        <w:keepNext w:val="false"/>
        <w:keepLines w:val="false"/>
        <w:pageBreakBefore w:val="false"/>
        <w:widowControl w:val="false"/>
        <w:kinsoku w:val="true"/>
        <w:overflowPunct w:val="true"/>
        <w:autoSpaceDE w:val="true"/>
        <w:bidi w:val="0"/>
        <w:snapToGrid w:val="true"/>
        <w:spacing w:lineRule="exact" w:line="570"/>
        <w:textAlignment w:val="auto"/>
        <w:rPr>
          <w:rFonts w:eastAsia="CESI仿宋-GB2312;仿宋" w:hint="eastAsia"/>
          <w:u w:val="none"/>
        </w:rPr>
      </w:pPr>
      <w:r>
        <w:rPr>
          <w:rFonts w:hint="eastAsia" w:eastAsia="CESI仿宋-GB2312;仿宋"/>
          <w:u w:val="none"/>
        </w:rPr>
        <w:t>鼓励用人单位为非独生子女员工安排照护假，照顾患病住院治疗的老年父母。</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bdr w:val="single" w:sz="4" w:space="0" w:color="000000"/>
          <w:shd w:fill="D9D9D9" w:val="clear"/>
        </w:rPr>
      </w:pPr>
      <w:r>
        <w:rPr>
          <w:rFonts w:ascii="黑体" w:hAnsi="黑体" w:cs="黑体" w:hint="eastAsia" w:eastAsia="黑体"/>
          <w:b w:val="false"/>
          <w:bCs w:val="false"/>
          <w:i w:val="false"/>
          <w:iCs w:val="false"/>
          <w:color w:val="000000"/>
          <w:sz w:val="32"/>
          <w:szCs w:val="32"/>
          <w:u w:val="none"/>
        </w:rPr>
        <w:t>第十四条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场监管、卫生健康、文化旅游等部门应当加强对以老年人为主要消费主体的生产、经营和服务行为等的监督管理；公安、金融监管等部门应当加强预防和打击针对老年人的传销、诈骗和非法集资等违法犯罪行为。</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15"/>
          <w:szCs w:val="15"/>
          <w:u w:val="none"/>
        </w:rPr>
      </w:pPr>
      <w:r>
        <w:rPr>
          <w:rFonts w:ascii="CESI仿宋-GB2312;仿宋" w:hAnsi="CESI仿宋-GB2312;仿宋" w:cs="CESI仿宋-GB2312;仿宋" w:hint="eastAsia" w:eastAsia="CESI仿宋-GB2312;仿宋"/>
          <w:i w:val="false"/>
          <w:iCs w:val="false"/>
          <w:color w:val="000000"/>
          <w:sz w:val="32"/>
          <w:szCs w:val="32"/>
          <w:u w:val="none"/>
        </w:rPr>
        <w:t>有关部门以及镇人民政府（街道办事处）、村（居）民委员会应当加强法治宣传教育，提高老年人识别和防范非法侵害的能力。</w:t>
      </w:r>
    </w:p>
    <w:p>
      <w:pPr>
        <w:pStyle w:val="Normal"/>
        <w:snapToGrid w:val="false"/>
        <w:spacing w:lineRule="exact" w:line="570" w:before="435" w:after="435"/>
        <w:jc w:val="center"/>
        <w:rPr>
          <w:rFonts w:ascii="黑体" w:hAnsi="黑体" w:eastAsia="黑体" w:cs="宋体" w:hint="eastAsia"/>
          <w:kern w:val="0"/>
        </w:rPr>
      </w:pPr>
      <w:r>
        <w:rPr>
          <w:rFonts w:ascii="黑体" w:hAnsi="黑体" w:cs="宋体" w:hint="eastAsia" w:eastAsia="黑体"/>
          <w:kern w:val="0"/>
        </w:rPr>
        <w:t>第三章  养老服务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第十五条</w:t>
      </w:r>
      <w:r>
        <w:rPr>
          <w:rFonts w:ascii="CESI仿宋-GB2312;仿宋" w:hAnsi="CESI仿宋-GB2312;仿宋" w:cs="CESI仿宋-GB2312;仿宋" w:hint="eastAsia" w:eastAsia="CESI仿宋-GB2312;仿宋"/>
          <w:i w:val="false"/>
          <w:iCs w:val="false"/>
          <w:color w:val="000000"/>
          <w:sz w:val="32"/>
          <w:szCs w:val="32"/>
          <w:u w:val="none"/>
        </w:rPr>
        <w:t xml:space="preserve">  市、区人民政府应当将基本养老服务纳入基本公共服务体系，建立居家社区机构相协调、医养康养相结合的多层次养老服务体系。</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市、区人民政府应当制定并向社会发布基本养老公共服务清单，根据人口老龄化、经济社会发展水平和养老服务供给状况，逐步增加基本养老公共服务内容，扩大服务保障对象范围。</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第十六条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市、区人民政府应当加强养老服务设施建设。</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市民政部门会同市资源规划主管部门根据市国土空间规划，按照人均用地标准组织编制养老服务设施专项规划。</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市资源规划主管部门应当根据本市养老服务需求，供应养老服务设施专项规划确定的养老服务设施用地，并落实到年度建设用地供应计划。</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支持利用集体建设用地发展养老服务设施。</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养老服务设施用地，非经法定程序不得改变用途；确因公共利益需要改变用途的，应当征得民政部门同意，在规划管理单元内按照不低于原有规模和标准补偿新的养老服务设施用地。</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第十七条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新建城区和新建居住</w:t>
      </w:r>
      <w:r>
        <w:rPr>
          <w:rFonts w:eastAsia="CESI仿宋-GB2312;仿宋" w:cs="CESI仿宋-GB2312;仿宋" w:hint="eastAsia" w:ascii="CESI仿宋-GB2312;仿宋" w:hAnsi="CESI仿宋-GB2312;仿宋"/>
          <w:i w:val="false"/>
          <w:iCs w:val="false"/>
          <w:color w:val="000000"/>
          <w:sz w:val="32"/>
          <w:szCs w:val="32"/>
          <w:u w:val="none"/>
        </w:rPr>
        <w:t>(</w:t>
      </w:r>
      <w:r>
        <w:rPr>
          <w:rFonts w:ascii="CESI仿宋-GB2312;仿宋" w:hAnsi="CESI仿宋-GB2312;仿宋" w:cs="CESI仿宋-GB2312;仿宋" w:hint="eastAsia" w:eastAsia="CESI仿宋-GB2312;仿宋"/>
          <w:i w:val="false"/>
          <w:iCs w:val="false"/>
          <w:color w:val="000000"/>
          <w:sz w:val="32"/>
          <w:szCs w:val="32"/>
          <w:u w:val="none"/>
        </w:rPr>
        <w:t>小</w:t>
      </w:r>
      <w:r>
        <w:rPr>
          <w:rFonts w:eastAsia="CESI仿宋-GB2312;仿宋" w:cs="CESI仿宋-GB2312;仿宋" w:hint="eastAsia" w:ascii="CESI仿宋-GB2312;仿宋" w:hAnsi="CESI仿宋-GB2312;仿宋"/>
          <w:i w:val="false"/>
          <w:iCs w:val="false"/>
          <w:color w:val="000000"/>
          <w:sz w:val="32"/>
          <w:szCs w:val="32"/>
          <w:u w:val="none"/>
        </w:rPr>
        <w:t>)</w:t>
      </w:r>
      <w:r>
        <w:rPr>
          <w:rFonts w:ascii="CESI仿宋-GB2312;仿宋" w:hAnsi="CESI仿宋-GB2312;仿宋" w:cs="CESI仿宋-GB2312;仿宋" w:hint="eastAsia" w:eastAsia="CESI仿宋-GB2312;仿宋"/>
          <w:i w:val="false"/>
          <w:iCs w:val="false"/>
          <w:color w:val="000000"/>
          <w:sz w:val="32"/>
          <w:szCs w:val="32"/>
          <w:u w:val="none"/>
        </w:rPr>
        <w:t>区，应当按照规划和建设指标要求配套建设养老服务设施，并与住宅同步规划、同步建设、同步验收、同步交付使用。配套建设的社区养老服务用房应当达到每百户不少于二十五平方米且单处建筑面积不少于二百平方米的标准。</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shd w:fill="auto" w:val="clear"/>
        </w:rPr>
        <w:t>老城区和</w:t>
      </w:r>
      <w:r>
        <w:rPr>
          <w:rFonts w:ascii="CESI仿宋-GB2312;仿宋" w:hAnsi="CESI仿宋-GB2312;仿宋" w:cs="CESI仿宋-GB2312;仿宋" w:hint="eastAsia" w:eastAsia="CESI仿宋-GB2312;仿宋"/>
          <w:i w:val="false"/>
          <w:iCs w:val="false"/>
          <w:color w:val="000000"/>
          <w:sz w:val="32"/>
          <w:szCs w:val="32"/>
          <w:u w:val="none"/>
        </w:rPr>
        <w:t>已建成居住</w:t>
      </w:r>
      <w:r>
        <w:rPr>
          <w:rFonts w:eastAsia="CESI仿宋-GB2312;仿宋" w:cs="CESI仿宋-GB2312;仿宋" w:hint="eastAsia" w:ascii="CESI仿宋-GB2312;仿宋" w:hAnsi="CESI仿宋-GB2312;仿宋"/>
          <w:i w:val="false"/>
          <w:iCs w:val="false"/>
          <w:color w:val="000000"/>
          <w:sz w:val="32"/>
          <w:szCs w:val="32"/>
          <w:u w:val="none"/>
        </w:rPr>
        <w:t>(</w:t>
      </w:r>
      <w:r>
        <w:rPr>
          <w:rFonts w:ascii="CESI仿宋-GB2312;仿宋" w:hAnsi="CESI仿宋-GB2312;仿宋" w:cs="CESI仿宋-GB2312;仿宋" w:hint="eastAsia" w:eastAsia="CESI仿宋-GB2312;仿宋"/>
          <w:i w:val="false"/>
          <w:iCs w:val="false"/>
          <w:color w:val="000000"/>
          <w:sz w:val="32"/>
          <w:szCs w:val="32"/>
          <w:u w:val="none"/>
        </w:rPr>
        <w:t>小</w:t>
      </w:r>
      <w:r>
        <w:rPr>
          <w:rFonts w:eastAsia="CESI仿宋-GB2312;仿宋" w:cs="CESI仿宋-GB2312;仿宋" w:hint="eastAsia" w:ascii="CESI仿宋-GB2312;仿宋" w:hAnsi="CESI仿宋-GB2312;仿宋"/>
          <w:i w:val="false"/>
          <w:iCs w:val="false"/>
          <w:color w:val="000000"/>
          <w:sz w:val="32"/>
          <w:szCs w:val="32"/>
          <w:u w:val="none"/>
        </w:rPr>
        <w:t>)</w:t>
      </w:r>
      <w:r>
        <w:rPr>
          <w:rFonts w:ascii="CESI仿宋-GB2312;仿宋" w:hAnsi="CESI仿宋-GB2312;仿宋" w:cs="CESI仿宋-GB2312;仿宋" w:hint="eastAsia" w:eastAsia="CESI仿宋-GB2312;仿宋"/>
          <w:i w:val="false"/>
          <w:iCs w:val="false"/>
          <w:color w:val="000000"/>
          <w:sz w:val="32"/>
          <w:szCs w:val="32"/>
          <w:u w:val="none"/>
        </w:rPr>
        <w:t>区无养老服务设施</w:t>
      </w:r>
      <w:r>
        <w:rPr>
          <w:rFonts w:ascii="CESI仿宋-GB2312;仿宋" w:hAnsi="CESI仿宋-GB2312;仿宋" w:cs="CESI仿宋-GB2312;仿宋" w:hint="eastAsia" w:eastAsia="CESI仿宋-GB2312;仿宋"/>
          <w:i w:val="false"/>
          <w:iCs w:val="false"/>
          <w:color w:val="000000"/>
          <w:sz w:val="32"/>
          <w:szCs w:val="32"/>
          <w:u w:val="none"/>
          <w:shd w:fill="auto" w:val="clear"/>
        </w:rPr>
        <w:t>或者</w:t>
      </w:r>
      <w:r>
        <w:rPr>
          <w:rFonts w:ascii="CESI仿宋-GB2312;仿宋" w:hAnsi="CESI仿宋-GB2312;仿宋" w:cs="CESI仿宋-GB2312;仿宋" w:hint="eastAsia" w:eastAsia="CESI仿宋-GB2312;仿宋"/>
          <w:i w:val="false"/>
          <w:iCs w:val="false"/>
          <w:color w:val="000000"/>
          <w:sz w:val="32"/>
          <w:szCs w:val="32"/>
          <w:u w:val="none"/>
        </w:rPr>
        <w:t>现有设施没有达到规划和建设指标要求的，市、区人民政府应当按照每百户不少于十五平方米的标准通过购置、置换、租赁等方式予以补充和完善。</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农村养老服务设施应当纳入乡村振兴战略，统一规划、优先建设。区人民政府应当按照每个村不少于一百二十平方米的标准配置社区养老服务用房。</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鼓励利用商业办公、工业、仓储存量房屋以及社区用房等举办养老服务机构，利用居住</w:t>
      </w:r>
      <w:r>
        <w:rPr>
          <w:rFonts w:ascii="CESI仿宋-GB2312;仿宋" w:hAnsi="CESI仿宋-GB2312;仿宋" w:cs="CESI仿宋-GB2312;仿宋" w:eastAsia="CESI仿宋-GB2312;仿宋"/>
          <w:i w:val="false"/>
          <w:iCs w:val="false"/>
          <w:color w:val="000000"/>
          <w:sz w:val="32"/>
          <w:szCs w:val="32"/>
          <w:u w:val="none"/>
          <w:lang w:val="en"/>
        </w:rPr>
        <w:t>（</w:t>
      </w:r>
      <w:r>
        <w:rPr>
          <w:rFonts w:ascii="CESI仿宋-GB2312;仿宋" w:hAnsi="CESI仿宋-GB2312;仿宋" w:cs="CESI仿宋-GB2312;仿宋" w:hint="eastAsia" w:eastAsia="CESI仿宋-GB2312;仿宋"/>
          <w:i w:val="false"/>
          <w:iCs w:val="false"/>
          <w:color w:val="000000"/>
          <w:sz w:val="32"/>
          <w:szCs w:val="32"/>
          <w:u w:val="none"/>
        </w:rPr>
        <w:t>小</w:t>
      </w:r>
      <w:r>
        <w:rPr>
          <w:rFonts w:ascii="CESI仿宋-GB2312;仿宋" w:hAnsi="CESI仿宋-GB2312;仿宋" w:cs="CESI仿宋-GB2312;仿宋" w:eastAsia="CESI仿宋-GB2312;仿宋"/>
          <w:i w:val="false"/>
          <w:iCs w:val="false"/>
          <w:color w:val="000000"/>
          <w:sz w:val="32"/>
          <w:szCs w:val="32"/>
          <w:u w:val="none"/>
          <w:lang w:val="en"/>
        </w:rPr>
        <w:t>）</w:t>
      </w:r>
      <w:r>
        <w:rPr>
          <w:rFonts w:ascii="CESI仿宋-GB2312;仿宋" w:hAnsi="CESI仿宋-GB2312;仿宋" w:cs="CESI仿宋-GB2312;仿宋" w:hint="eastAsia" w:eastAsia="CESI仿宋-GB2312;仿宋"/>
          <w:i w:val="false"/>
          <w:iCs w:val="false"/>
          <w:color w:val="000000"/>
          <w:sz w:val="32"/>
          <w:szCs w:val="32"/>
          <w:u w:val="none"/>
        </w:rPr>
        <w:t>区内闲置</w:t>
      </w:r>
      <w:r>
        <w:rPr>
          <w:rFonts w:ascii="CESI仿宋-GB2312;仿宋" w:hAnsi="CESI仿宋-GB2312;仿宋" w:cs="CESI仿宋-GB2312;仿宋" w:hint="eastAsia" w:eastAsia="CESI仿宋-GB2312;仿宋"/>
          <w:i w:val="false"/>
          <w:iCs w:val="false"/>
          <w:color w:val="000000"/>
          <w:sz w:val="32"/>
          <w:szCs w:val="32"/>
          <w:u w:val="none"/>
          <w:shd w:fill="auto" w:val="clear"/>
        </w:rPr>
        <w:t>的公共</w:t>
      </w:r>
      <w:r>
        <w:rPr>
          <w:rFonts w:ascii="CESI仿宋-GB2312;仿宋" w:hAnsi="CESI仿宋-GB2312;仿宋" w:cs="CESI仿宋-GB2312;仿宋" w:hint="eastAsia" w:eastAsia="CESI仿宋-GB2312;仿宋"/>
          <w:i w:val="false"/>
          <w:iCs w:val="false"/>
          <w:color w:val="000000"/>
          <w:sz w:val="32"/>
          <w:szCs w:val="32"/>
          <w:u w:val="none"/>
        </w:rPr>
        <w:t>房屋和设施、农村集体所有的房屋改造用于居家社区养老服务。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i w:val="false"/>
          <w:iCs w:val="false"/>
          <w:color w:val="000000"/>
          <w:sz w:val="32"/>
          <w:szCs w:val="32"/>
          <w:u w:val="none"/>
          <w:lang w:val="en"/>
        </w:rPr>
      </w:pPr>
      <w:r>
        <w:rPr>
          <w:rFonts w:ascii="黑体" w:hAnsi="黑体" w:cs="黑体" w:hint="eastAsia" w:eastAsia="黑体"/>
          <w:b w:val="false"/>
          <w:bCs w:val="false"/>
          <w:i w:val="false"/>
          <w:iCs w:val="false"/>
          <w:color w:val="000000"/>
          <w:sz w:val="32"/>
          <w:szCs w:val="32"/>
          <w:u w:val="none"/>
        </w:rPr>
        <w:t>第十八条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市、区人民政府应当加强养老服务信息化建设，建立健全信息共享机制，加强数据互联互通，促进养老服务需求和供给有效对接，推进养老服务与管理的智慧化应用，加大对</w:t>
      </w:r>
      <w:r>
        <w:rPr>
          <w:rFonts w:ascii="CESI仿宋-GB2312;仿宋" w:hAnsi="CESI仿宋-GB2312;仿宋" w:cs="CESI仿宋-GB2312;仿宋" w:eastAsia="CESI仿宋-GB2312;仿宋"/>
          <w:i w:val="false"/>
          <w:iCs w:val="false"/>
          <w:color w:val="000000"/>
          <w:sz w:val="32"/>
          <w:szCs w:val="32"/>
          <w:u w:val="none"/>
        </w:rPr>
        <w:t>智慧养老服务新业态</w:t>
      </w:r>
      <w:r>
        <w:rPr>
          <w:rFonts w:ascii="CESI仿宋-GB2312;仿宋" w:hAnsi="CESI仿宋-GB2312;仿宋" w:cs="CESI仿宋-GB2312;仿宋" w:hint="eastAsia" w:eastAsia="CESI仿宋-GB2312;仿宋"/>
          <w:i w:val="false"/>
          <w:iCs w:val="false"/>
          <w:color w:val="000000"/>
          <w:sz w:val="32"/>
          <w:szCs w:val="32"/>
          <w:u w:val="none"/>
        </w:rPr>
        <w:t>发展的扶持力度。</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i w:val="false"/>
          <w:iCs w:val="false"/>
          <w:color w:val="000000"/>
          <w:sz w:val="32"/>
          <w:szCs w:val="32"/>
          <w:u w:val="none"/>
        </w:rPr>
      </w:pPr>
      <w:r>
        <w:rPr>
          <w:rFonts w:eastAsia="CESI仿宋-GB2312;仿宋" w:cs="CESI仿宋-GB2312;仿宋" w:hint="eastAsia" w:ascii="CESI仿宋-GB2312;仿宋" w:hAnsi="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支持养老服务平台建设，整合服务资源，为老年人提供助餐、助浴、助洁、助医、助急、远程照护等多样化、便利化</w:t>
      </w:r>
      <w:r>
        <w:rPr>
          <w:rFonts w:ascii="CESI仿宋-GB2312;仿宋" w:hAnsi="CESI仿宋-GB2312;仿宋" w:cs="CESI仿宋-GB2312;仿宋" w:hint="eastAsia" w:eastAsia="CESI仿宋-GB2312;仿宋"/>
          <w:i w:val="false"/>
          <w:iCs w:val="false"/>
          <w:color w:val="000000"/>
          <w:sz w:val="32"/>
          <w:szCs w:val="32"/>
          <w:u w:val="none"/>
          <w:shd w:fill="auto" w:val="clear"/>
        </w:rPr>
        <w:t>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pacing w:val="-4"/>
          <w:sz w:val="32"/>
          <w:szCs w:val="32"/>
          <w:u w:val="none"/>
        </w:rPr>
      </w:pPr>
      <w:r>
        <w:rPr>
          <w:rFonts w:ascii="CESI仿宋-GB2312;仿宋" w:hAnsi="CESI仿宋-GB2312;仿宋" w:cs="CESI仿宋-GB2312;仿宋" w:hint="eastAsia" w:eastAsia="CESI仿宋-GB2312;仿宋"/>
          <w:i w:val="false"/>
          <w:iCs w:val="false"/>
          <w:color w:val="000000"/>
          <w:spacing w:val="-4"/>
          <w:sz w:val="32"/>
          <w:szCs w:val="32"/>
          <w:u w:val="none"/>
        </w:rPr>
        <w:t>支持社会力量运用互联网等技术，提供各类养老服务。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第十九条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市、区人民政府应当发展居家社区养老服务，可以通过购买服务、委托运营等方式，支持专业服务机构、物业服务企业、志愿服务组织以及其他组织提供下列养老服务：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kern w:val="0"/>
          <w:sz w:val="32"/>
          <w:szCs w:val="32"/>
          <w:u w:val="none"/>
        </w:rPr>
      </w:pPr>
      <w:r>
        <w:rPr>
          <w:rFonts w:ascii="CESI仿宋-GB2312;仿宋" w:hAnsi="CESI仿宋-GB2312;仿宋" w:cs="CESI仿宋-GB2312;仿宋" w:hint="eastAsia" w:eastAsia="CESI仿宋-GB2312;仿宋"/>
          <w:i w:val="false"/>
          <w:iCs w:val="false"/>
          <w:color w:val="000000"/>
          <w:kern w:val="0"/>
          <w:sz w:val="32"/>
          <w:szCs w:val="32"/>
          <w:u w:val="none"/>
        </w:rPr>
        <w:t>（一）临时或者短期的托养照顾服务；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（二）为居家的老年人提供生活照料、紧急救援、医疗护理、精神慰藉、心理咨询等</w:t>
      </w:r>
      <w:r>
        <w:rPr>
          <w:rFonts w:ascii="CESI仿宋-GB2312;仿宋" w:hAnsi="CESI仿宋-GB2312;仿宋" w:cs="CESI仿宋-GB2312;仿宋" w:hint="eastAsia" w:eastAsia="CESI仿宋-GB2312;仿宋"/>
          <w:i w:val="false"/>
          <w:iCs w:val="false"/>
          <w:color w:val="000000"/>
          <w:sz w:val="32"/>
          <w:szCs w:val="32"/>
          <w:u w:val="none"/>
          <w:shd w:fill="auto" w:val="clear"/>
        </w:rPr>
        <w:t>多</w:t>
      </w:r>
      <w:r>
        <w:rPr>
          <w:rFonts w:ascii="CESI仿宋-GB2312;仿宋" w:hAnsi="CESI仿宋-GB2312;仿宋" w:cs="CESI仿宋-GB2312;仿宋" w:hint="eastAsia" w:eastAsia="CESI仿宋-GB2312;仿宋"/>
          <w:i w:val="false"/>
          <w:iCs w:val="false"/>
          <w:color w:val="000000"/>
          <w:sz w:val="32"/>
          <w:szCs w:val="32"/>
          <w:u w:val="none"/>
        </w:rPr>
        <w:t>样化的上门服务；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kern w:val="0"/>
          <w:sz w:val="32"/>
          <w:szCs w:val="32"/>
          <w:u w:val="none"/>
        </w:rPr>
        <w:t>（三）提供</w:t>
      </w:r>
      <w:r>
        <w:rPr>
          <w:rFonts w:ascii="CESI仿宋-GB2312;仿宋" w:hAnsi="CESI仿宋-GB2312;仿宋" w:cs="CESI仿宋-GB2312;仿宋" w:hint="eastAsia" w:eastAsia="CESI仿宋-GB2312;仿宋"/>
          <w:i w:val="false"/>
          <w:iCs w:val="false"/>
          <w:color w:val="000000"/>
          <w:sz w:val="32"/>
          <w:szCs w:val="32"/>
          <w:u w:val="none"/>
        </w:rPr>
        <w:t>轮椅等辅助器具租借服务；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（四）其他养老服务。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第二十条 </w:t>
      </w:r>
      <w:r>
        <w:rPr>
          <w:rFonts w:ascii="CESI仿宋-GB2312;仿宋" w:hAnsi="CESI仿宋-GB2312;仿宋" w:cs="CESI仿宋-GB2312;仿宋" w:hint="eastAsia" w:eastAsia="CESI仿宋-GB2312;仿宋"/>
          <w:i w:val="false"/>
          <w:iCs w:val="false"/>
          <w:color w:val="000000"/>
          <w:sz w:val="32"/>
          <w:szCs w:val="32"/>
          <w:u w:val="none"/>
        </w:rPr>
        <w:t xml:space="preserve"> 镇（街）应当建设至少一家养老服务照料中心，发挥平台作用，整合日间照料、短期托养、社区助餐、专业社会工作、心理咨询、医养康养结合、养老顾问等养老服务资源，提供综合性养老服务支持。</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采取多元化方式开</w:t>
      </w:r>
      <w:r>
        <w:rPr>
          <w:rFonts w:ascii="CESI仿宋-GB2312;仿宋" w:hAnsi="CESI仿宋-GB2312;仿宋" w:cs="CESI仿宋-GB2312;仿宋" w:hint="eastAsia" w:eastAsia="CESI仿宋-GB2312;仿宋"/>
          <w:i w:val="false"/>
          <w:iCs w:val="false"/>
          <w:color w:val="000000"/>
          <w:sz w:val="32"/>
          <w:szCs w:val="32"/>
          <w:u w:val="none"/>
          <w:shd w:fill="auto" w:val="clear"/>
        </w:rPr>
        <w:t>设</w:t>
      </w:r>
      <w:r>
        <w:rPr>
          <w:rFonts w:ascii="CESI仿宋-GB2312;仿宋" w:hAnsi="CESI仿宋-GB2312;仿宋" w:cs="CESI仿宋-GB2312;仿宋" w:hint="eastAsia" w:eastAsia="CESI仿宋-GB2312;仿宋"/>
          <w:i w:val="false"/>
          <w:iCs w:val="false"/>
          <w:color w:val="000000"/>
          <w:sz w:val="32"/>
          <w:szCs w:val="32"/>
          <w:u w:val="none"/>
        </w:rPr>
        <w:t>社区食堂，为有需求的老年人提供膳食加工配制、外送以及集中用餐等服务。鼓励单位食堂为老年人提供社区助餐服务。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第二十一条</w:t>
      </w:r>
      <w:r>
        <w:rPr>
          <w:rFonts w:ascii="CESI仿宋-GB2312;仿宋" w:hAnsi="CESI仿宋-GB2312;仿宋" w:cs="CESI仿宋-GB2312;仿宋" w:hint="eastAsia" w:eastAsia="CESI仿宋-GB2312;仿宋"/>
          <w:i w:val="false"/>
          <w:iCs w:val="false"/>
          <w:color w:val="000000"/>
          <w:sz w:val="32"/>
          <w:szCs w:val="32"/>
          <w:u w:val="none"/>
        </w:rPr>
        <w:t xml:space="preserve">  老年人养老以居家养老为基础。依法负有赡养、扶养老年人义务的子女、配偶以及其他人员，应当依法履行对老年人经济上供养、生活上照料和精神上慰藉的义务。</w:t>
      </w:r>
    </w:p>
    <w:p>
      <w:pPr>
        <w:pStyle w:val="2"/>
        <w:keepNext w:val="false"/>
        <w:keepLines w:val="false"/>
        <w:pageBreakBefore w:val="false"/>
        <w:widowControl w:val="false"/>
        <w:kinsoku w:val="true"/>
        <w:autoSpaceDE w:val="true"/>
        <w:bidi w:val="0"/>
        <w:snapToGrid w:val="true"/>
        <w:spacing w:lineRule="exact" w:line="570"/>
        <w:textAlignment w:val="auto"/>
        <w:rPr>
          <w:rFonts w:ascii="CESI仿宋-GB2312;仿宋" w:hAnsi="CESI仿宋-GB2312;仿宋" w:eastAsia="CESI仿宋-GB2312;仿宋" w:cs="CESI仿宋-GB2312;仿宋" w:hint="eastAsia"/>
          <w:b/>
          <w:bCs/>
          <w:i w:val="false"/>
          <w:iCs w:val="false"/>
          <w:color w:val="000000"/>
          <w:sz w:val="32"/>
          <w:szCs w:val="32"/>
          <w:u w:val="none"/>
        </w:rPr>
      </w:pPr>
      <w:r>
        <w:rPr>
          <w:rFonts w:ascii="黑体" w:hAnsi="黑体" w:cs="黑体" w:hint="eastAsia" w:eastAsia="黑体"/>
          <w:b w:val="false"/>
          <w:bCs w:val="false"/>
          <w:i w:val="false"/>
          <w:iCs w:val="false"/>
          <w:color w:val="000000"/>
          <w:kern w:val="2"/>
          <w:sz w:val="32"/>
          <w:szCs w:val="32"/>
          <w:u w:val="none"/>
        </w:rPr>
        <w:t xml:space="preserve">第二十二条 </w:t>
      </w:r>
      <w:r>
        <w:rPr>
          <w:rFonts w:ascii="CESI仿宋-GB2312;仿宋" w:hAnsi="CESI仿宋-GB2312;仿宋" w:cs="CESI仿宋-GB2312;仿宋" w:hint="eastAsia" w:eastAsia="CESI仿宋-GB2312;仿宋"/>
          <w:i w:val="false"/>
          <w:iCs w:val="false"/>
          <w:color w:val="000000"/>
          <w:sz w:val="32"/>
          <w:szCs w:val="32"/>
          <w:u w:val="none"/>
        </w:rPr>
        <w:t xml:space="preserve"> 社区应当建立巡访制度，安排网格员等人员或者委托物业服务企业等组织定期对独居老年人的生活状况进行上门巡访或者电话巡访。</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第二十三条 </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鼓励发展以互助养老服务时间银行为基础，以社工专业力量为支撑，以邻里关爱互助为补充的循环互助养老服务。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b/>
          <w:bCs/>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倡导有志愿服务能力和意愿的老年人通过结对帮扶、邻里互助，低龄老年人为高龄老年人、健康老年人为失能及残疾老年人服务等形式提供志愿服务。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第二十四条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基层</w:t>
      </w:r>
      <w:r>
        <w:rPr>
          <w:rFonts w:ascii="CESI仿宋-GB2312;仿宋" w:hAnsi="CESI仿宋-GB2312;仿宋" w:cs="CESI仿宋-GB2312;仿宋" w:hint="eastAsia" w:eastAsia="CESI仿宋-GB2312;仿宋"/>
          <w:i w:val="false"/>
          <w:iCs w:val="false"/>
          <w:color w:val="000000"/>
          <w:sz w:val="32"/>
          <w:szCs w:val="32"/>
          <w:u w:val="none"/>
        </w:rPr>
        <w:t>医疗</w:t>
      </w:r>
      <w:r>
        <w:rPr>
          <w:rFonts w:ascii="CESI仿宋-GB2312;仿宋" w:hAnsi="CESI仿宋-GB2312;仿宋" w:cs="CESI仿宋-GB2312;仿宋" w:hint="eastAsia" w:eastAsia="CESI仿宋-GB2312;仿宋"/>
          <w:i w:val="false"/>
          <w:iCs w:val="false"/>
          <w:color w:val="000000"/>
          <w:sz w:val="32"/>
          <w:szCs w:val="32"/>
          <w:u w:val="none"/>
        </w:rPr>
        <w:t>卫生机构应当开展老年人健康管理、常见病多发病防治和老年保健知识宣传工作，完善社区用药政策，满足老年人常见病、慢性病的基本用药需求，并为老年人提供下列卫生健康服务：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（一）定期为辖区六十五周岁以上的老年人免费体检，建立健康档案；</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（二）开展中医诊疗、健康指导、保健咨询、慢性病管理等家庭医生服务；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（三）为</w:t>
      </w:r>
      <w:r>
        <w:rPr>
          <w:rFonts w:ascii="CESI仿宋-GB2312;仿宋" w:hAnsi="CESI仿宋-GB2312;仿宋" w:cs="CESI仿宋-GB2312;仿宋" w:hint="eastAsia" w:eastAsia="CESI仿宋-GB2312;仿宋"/>
          <w:i w:val="false"/>
          <w:iCs w:val="false"/>
          <w:color w:val="000000"/>
          <w:sz w:val="32"/>
          <w:szCs w:val="32"/>
          <w:u w:val="none"/>
          <w:shd w:fill="auto" w:val="clear"/>
        </w:rPr>
        <w:t>符合条件</w:t>
      </w:r>
      <w:r>
        <w:rPr>
          <w:rFonts w:ascii="CESI仿宋-GB2312;仿宋" w:hAnsi="CESI仿宋-GB2312;仿宋" w:cs="CESI仿宋-GB2312;仿宋" w:hint="eastAsia" w:eastAsia="CESI仿宋-GB2312;仿宋"/>
          <w:i w:val="false"/>
          <w:iCs w:val="false"/>
          <w:color w:val="000000"/>
          <w:sz w:val="32"/>
          <w:szCs w:val="32"/>
          <w:u w:val="none"/>
        </w:rPr>
        <w:t>的老年人提供上门诊疗、设立家庭病床、指导居家护理等服务；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（四）其他卫生健康服务。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基层医疗卫生机构、二级综合医疗机构根据需求和规划设置老年护理床位，设置临终关怀病区或者床位。</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有条件的二级以上综合医疗机构应当开设老年医学科，设立一定比例的无陪护病房。</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加快建设老年病医院、康复医院、护理院，为老年人提供接续性医疗护理服务。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第二十五条 </w:t>
      </w:r>
      <w:r>
        <w:rPr>
          <w:rFonts w:ascii="CESI仿宋-GB2312;仿宋" w:hAnsi="CESI仿宋-GB2312;仿宋" w:cs="CESI仿宋-GB2312;仿宋" w:hint="eastAsia" w:eastAsia="CESI仿宋-GB2312;仿宋"/>
          <w:i w:val="false"/>
          <w:iCs w:val="false"/>
          <w:color w:val="000000"/>
          <w:sz w:val="32"/>
          <w:szCs w:val="32"/>
          <w:u w:val="none"/>
        </w:rPr>
        <w:t xml:space="preserve"> 鼓励</w:t>
      </w:r>
      <w:r>
        <w:rPr>
          <w:rFonts w:ascii="CESI仿宋-GB2312;仿宋" w:hAnsi="CESI仿宋-GB2312;仿宋" w:cs="CESI仿宋-GB2312;仿宋" w:eastAsia="CESI仿宋-GB2312;仿宋"/>
          <w:i w:val="false"/>
          <w:iCs w:val="false"/>
          <w:color w:val="000000"/>
          <w:sz w:val="32"/>
          <w:szCs w:val="32"/>
          <w:u w:val="none"/>
        </w:rPr>
        <w:t>医疗机构为老年人提供中医健康咨询评估、干预调理、随访管理等治未病服务</w:t>
      </w:r>
      <w:r>
        <w:rPr>
          <w:rFonts w:ascii="CESI仿宋-GB2312;仿宋" w:hAnsi="CESI仿宋-GB2312;仿宋" w:cs="CESI仿宋-GB2312;仿宋" w:hint="eastAsia" w:eastAsia="CESI仿宋-GB2312;仿宋"/>
          <w:i w:val="false"/>
          <w:iCs w:val="false"/>
          <w:color w:val="000000"/>
          <w:sz w:val="32"/>
          <w:szCs w:val="32"/>
          <w:u w:val="none"/>
        </w:rPr>
        <w:t>，</w:t>
      </w:r>
      <w:r>
        <w:rPr>
          <w:rFonts w:ascii="CESI仿宋-GB2312;仿宋" w:hAnsi="CESI仿宋-GB2312;仿宋" w:cs="CESI仿宋-GB2312;仿宋" w:eastAsia="CESI仿宋-GB2312;仿宋"/>
          <w:i w:val="false"/>
          <w:iCs w:val="false"/>
          <w:color w:val="000000"/>
          <w:sz w:val="32"/>
          <w:szCs w:val="32"/>
          <w:u w:val="none"/>
        </w:rPr>
        <w:t>推广应用适用于老年人的中医药技术、方法和中医特色医养结合服务</w:t>
      </w:r>
      <w:r>
        <w:rPr>
          <w:rFonts w:ascii="CESI仿宋-GB2312;仿宋" w:hAnsi="CESI仿宋-GB2312;仿宋" w:cs="CESI仿宋-GB2312;仿宋" w:hint="eastAsia" w:eastAsia="CESI仿宋-GB2312;仿宋"/>
          <w:i w:val="false"/>
          <w:iCs w:val="false"/>
          <w:color w:val="000000"/>
          <w:sz w:val="32"/>
          <w:szCs w:val="32"/>
          <w:u w:val="none"/>
        </w:rPr>
        <w:t>。</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第二十六条 </w:t>
      </w:r>
      <w:r>
        <w:rPr>
          <w:rFonts w:ascii="CESI仿宋-GB2312;仿宋" w:hAnsi="CESI仿宋-GB2312;仿宋" w:cs="CESI仿宋-GB2312;仿宋" w:hint="eastAsia" w:eastAsia="CESI仿宋-GB2312;仿宋"/>
          <w:i w:val="false"/>
          <w:iCs w:val="false"/>
          <w:color w:val="000000"/>
          <w:sz w:val="32"/>
          <w:szCs w:val="32"/>
          <w:u w:val="none"/>
        </w:rPr>
        <w:t xml:space="preserve"> 属于本市最低生活保障对象、重点优抚对象的老年人，以及低收入家庭、计划生育特殊家庭中的本市户籍老年人，入住政府投资设立的养老服务机构的，按其支付能力享受低偿托养服务。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hint="eastAsia"/>
          <w:u w:val="none"/>
        </w:rPr>
      </w:pPr>
      <w:r>
        <w:rPr>
          <w:rFonts w:ascii="黑体" w:hAnsi="黑体" w:cs="黑体" w:hint="eastAsia" w:eastAsia="黑体"/>
          <w:b w:val="false"/>
          <w:bCs w:val="false"/>
          <w:i w:val="false"/>
          <w:iCs w:val="false"/>
          <w:color w:val="000000"/>
          <w:sz w:val="32"/>
          <w:szCs w:val="32"/>
          <w:u w:val="none"/>
        </w:rPr>
        <w:t xml:space="preserve">第二十七条 </w:t>
      </w:r>
      <w:r>
        <w:rPr>
          <w:rFonts w:hint="eastAsia"/>
          <w:i w:val="false"/>
          <w:iCs w:val="false"/>
          <w:color w:val="000000"/>
          <w:u w:val="none"/>
        </w:rPr>
        <w:t xml:space="preserve"> </w:t>
      </w:r>
      <w:r>
        <w:rPr>
          <w:rFonts w:ascii="CESI仿宋-GB2312;仿宋" w:hAnsi="CESI仿宋-GB2312;仿宋" w:cs="CESI仿宋-GB2312;仿宋" w:hint="eastAsia" w:eastAsia="CESI仿宋-GB2312;仿宋"/>
          <w:b w:val="false"/>
          <w:bCs w:val="false"/>
          <w:i w:val="false"/>
          <w:iCs w:val="false"/>
          <w:color w:val="000000"/>
          <w:sz w:val="32"/>
          <w:szCs w:val="32"/>
          <w:u w:val="none"/>
        </w:rPr>
        <w:t>区人民政府应当通过补贴和其他激励措施引导、支持养老服务机构设置家庭养老照护床位，完善居家养老、社区养老、机构养老相互衔接的专业化照护服务体系，为中度以上失能老年人居家养老提供专业化照护服务</w:t>
      </w:r>
      <w:r>
        <w:rPr>
          <w:rFonts w:ascii="CESI仿宋-GB2312;仿宋" w:hAnsi="CESI仿宋-GB2312;仿宋" w:cs="CESI仿宋-GB2312;仿宋" w:hint="eastAsia"/>
          <w:b w:val="false"/>
          <w:bCs w:val="false"/>
          <w:i w:val="false"/>
          <w:iCs w:val="false"/>
          <w:color w:val="000000"/>
          <w:sz w:val="32"/>
          <w:szCs w:val="32"/>
          <w:u w:val="none"/>
        </w:rPr>
        <w:t>。</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b/>
          <w:bCs/>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第二十八条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b w:val="false"/>
          <w:bCs w:val="false"/>
          <w:i w:val="false"/>
          <w:iCs w:val="false"/>
          <w:color w:val="000000"/>
          <w:sz w:val="32"/>
          <w:szCs w:val="32"/>
          <w:u w:val="none"/>
        </w:rPr>
        <w:t>养老机构护理型床位的设置比例不得低于国家、省、市有关标准。</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符合条件的养老服务机构内设医疗机构按照规定纳入医保协议管理评估范围。</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支持养老服务机构与医疗机构建立医养结合机制，开展交流合作，为老年人提供便利的医疗和照护服务。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具备法人资格的医疗机构可以通过变更登记事项或者经营范围开展养老服务。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鼓励医疗机构或者养老服务机构派遣医生定期到社区为老年人体检、诊疗。</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b/>
          <w:bCs/>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第二十九条  </w:t>
      </w:r>
      <w:r>
        <w:rPr>
          <w:rFonts w:ascii="CESI仿宋-GB2312;仿宋" w:hAnsi="CESI仿宋-GB2312;仿宋" w:cs="CESI仿宋-GB2312;仿宋" w:hint="eastAsia" w:eastAsia="CESI仿宋-GB2312;仿宋"/>
          <w:i w:val="false"/>
          <w:iCs w:val="false"/>
          <w:color w:val="000000"/>
          <w:sz w:val="32"/>
          <w:szCs w:val="32"/>
          <w:u w:val="none"/>
          <w:shd w:fill="auto" w:val="clear"/>
        </w:rPr>
        <w:t>养老服务机构使用水、电、燃气等，依规定</w:t>
      </w:r>
      <w:r>
        <w:rPr>
          <w:rFonts w:ascii="CESI仿宋-GB2312;仿宋" w:hAnsi="CESI仿宋-GB2312;仿宋" w:cs="CESI仿宋-GB2312;仿宋" w:hint="eastAsia" w:eastAsia="CESI仿宋-GB2312;仿宋"/>
          <w:i w:val="false"/>
          <w:iCs w:val="false"/>
          <w:color w:val="000000"/>
          <w:sz w:val="32"/>
          <w:szCs w:val="32"/>
          <w:u w:val="none"/>
          <w:shd w:fill="auto" w:val="clear"/>
        </w:rPr>
        <w:t>按照居民生活类价格标准收费。</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b w:val="false"/>
          <w:bCs w:val="false"/>
          <w:i w:val="false"/>
          <w:iCs w:val="false"/>
          <w:color w:val="000000"/>
          <w:sz w:val="32"/>
          <w:szCs w:val="32"/>
          <w:u w:val="none"/>
          <w:bdr w:val="single" w:sz="4" w:space="0" w:color="000000"/>
          <w:shd w:fill="E5E5E5" w:val="clear"/>
        </w:rPr>
      </w:pPr>
      <w:r>
        <w:rPr>
          <w:rFonts w:ascii="CESI仿宋-GB2312;仿宋" w:hAnsi="CESI仿宋-GB2312;仿宋" w:cs="CESI仿宋-GB2312;仿宋" w:hint="eastAsia" w:eastAsia="CESI仿宋-GB2312;仿宋"/>
          <w:i w:val="false"/>
          <w:iCs w:val="false"/>
          <w:color w:val="000000"/>
          <w:sz w:val="32"/>
          <w:szCs w:val="32"/>
          <w:u w:val="none"/>
        </w:rPr>
        <w:t>民政部门应当会同有关部门采取措施，鼓励国有企业和社会资本投资养老服务机构，支持养老服务机构实现综合化、专业化、连锁化、品牌化运营。</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第三十条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养老服务机构应当按照建筑、消防、食品安全、医疗卫</w:t>
      </w:r>
      <w:r>
        <w:rPr>
          <w:rFonts w:ascii="CESI仿宋-GB2312;仿宋" w:hAnsi="CESI仿宋-GB2312;仿宋" w:cs="CESI仿宋-GB2312;仿宋" w:eastAsia="CESI仿宋-GB2312;仿宋"/>
          <w:i w:val="false"/>
          <w:iCs w:val="false"/>
          <w:color w:val="000000"/>
          <w:sz w:val="32"/>
          <w:szCs w:val="32"/>
          <w:u w:val="none"/>
        </w:rPr>
        <w:t>生、特种设备等法律、法规和强制性标准开展服务活动。</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养老服务机构应当诚信守法，对集中供养的老年人应当精心照顾、护理，患病的应当及时送医治疗。</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b/>
          <w:bCs/>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禁止歧视、虐待、侮辱老年人；禁止克扣、挪用、侵占老年人的伙食、福利费用和生活物资；禁止以其他任何方式侵害老年人的合法权益。</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第三十一条 </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市、区人民政府应当加强对养老服务机构的管理，建立养老服务机构综合监管制度，开展对享受政府政策优惠的养老服务设施配建利用状况、基本养老公共服务项目绩效状况的定期评估。</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bdr w:val="single" w:sz="4" w:space="0" w:color="000000"/>
          <w:shd w:fill="E5E5E5" w:val="clear"/>
        </w:rPr>
      </w:pPr>
      <w:r>
        <w:rPr>
          <w:rFonts w:ascii="CESI仿宋-GB2312;仿宋" w:hAnsi="CESI仿宋-GB2312;仿宋" w:cs="CESI仿宋-GB2312;仿宋" w:hint="eastAsia" w:eastAsia="CESI仿宋-GB2312;仿宋"/>
          <w:i w:val="false"/>
          <w:iCs w:val="false"/>
          <w:color w:val="000000"/>
          <w:sz w:val="32"/>
          <w:szCs w:val="32"/>
          <w:u w:val="none"/>
        </w:rPr>
        <w:t>民政部门负责养老服务机构的指导、监督和管理，其他有关部门依照职责分工对养老服务机构实施监督和管理。</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推进养老服务领域社会信用体系建设，建立失信联合惩戒机制，对存在严重失信行为的养老服务机构以及人员按照规定实施联合惩戒。</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第三十二条 </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市人民政府相关部门应当按照职责制定养老护理服务人员队伍建设工作规划，建立健全吸引培养、教育培训、激励、评价等制度，提升养老护理服务人员职业荣誉感。</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b/>
          <w:bCs/>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shd w:fill="auto" w:val="clear"/>
        </w:rPr>
        <w:t>鼓励</w:t>
      </w:r>
      <w:r>
        <w:rPr>
          <w:rFonts w:ascii="CESI仿宋-GB2312;仿宋" w:hAnsi="CESI仿宋-GB2312;仿宋" w:cs="CESI仿宋-GB2312;仿宋" w:hint="eastAsia" w:eastAsia="CESI仿宋-GB2312;仿宋"/>
          <w:b w:val="false"/>
          <w:bCs w:val="false"/>
          <w:i w:val="false"/>
          <w:iCs w:val="false"/>
          <w:color w:val="000000"/>
          <w:sz w:val="32"/>
          <w:szCs w:val="32"/>
          <w:u w:val="none"/>
        </w:rPr>
        <w:t>和支持高等</w:t>
      </w:r>
      <w:r>
        <w:rPr>
          <w:rFonts w:ascii="CESI仿宋-GB2312;仿宋" w:hAnsi="CESI仿宋-GB2312;仿宋" w:cs="CESI仿宋-GB2312;仿宋" w:hint="eastAsia" w:eastAsia="CESI仿宋-GB2312;仿宋"/>
          <w:i w:val="false"/>
          <w:iCs w:val="false"/>
          <w:color w:val="000000"/>
          <w:sz w:val="32"/>
          <w:szCs w:val="32"/>
          <w:u w:val="none"/>
        </w:rPr>
        <w:t>院校</w:t>
      </w:r>
      <w:r>
        <w:rPr>
          <w:rFonts w:ascii="CESI仿宋-GB2312;仿宋" w:hAnsi="CESI仿宋-GB2312;仿宋" w:cs="CESI仿宋-GB2312;仿宋" w:hint="eastAsia" w:eastAsia="CESI仿宋-GB2312;仿宋"/>
          <w:b w:val="false"/>
          <w:bCs w:val="false"/>
          <w:i w:val="false"/>
          <w:iCs w:val="false"/>
          <w:color w:val="000000"/>
          <w:sz w:val="32"/>
          <w:szCs w:val="32"/>
          <w:u w:val="none"/>
        </w:rPr>
        <w:t>、职业学校</w:t>
      </w:r>
      <w:r>
        <w:rPr>
          <w:rFonts w:ascii="CESI仿宋-GB2312;仿宋" w:hAnsi="CESI仿宋-GB2312;仿宋" w:cs="CESI仿宋-GB2312;仿宋" w:hint="eastAsia" w:eastAsia="CESI仿宋-GB2312;仿宋"/>
          <w:i w:val="false"/>
          <w:iCs w:val="false"/>
          <w:color w:val="000000"/>
          <w:sz w:val="32"/>
          <w:szCs w:val="32"/>
          <w:u w:val="none"/>
        </w:rPr>
        <w:t>和培训机构</w:t>
      </w:r>
      <w:r>
        <w:rPr>
          <w:rFonts w:ascii="CESI仿宋-GB2312;仿宋" w:hAnsi="CESI仿宋-GB2312;仿宋" w:cs="CESI仿宋-GB2312;仿宋" w:hint="eastAsia" w:eastAsia="CESI仿宋-GB2312;仿宋"/>
          <w:b w:val="false"/>
          <w:bCs w:val="false"/>
          <w:i w:val="false"/>
          <w:iCs w:val="false"/>
          <w:color w:val="000000"/>
          <w:sz w:val="32"/>
          <w:szCs w:val="32"/>
          <w:u w:val="none"/>
        </w:rPr>
        <w:t>设置老年医学、中医药健康养老、康复、护理等</w:t>
      </w:r>
      <w:r>
        <w:rPr>
          <w:rFonts w:ascii="CESI仿宋-GB2312;仿宋" w:hAnsi="CESI仿宋-GB2312;仿宋" w:cs="CESI仿宋-GB2312;仿宋" w:hint="eastAsia" w:eastAsia="CESI仿宋-GB2312;仿宋"/>
          <w:i w:val="false"/>
          <w:iCs w:val="false"/>
          <w:color w:val="000000"/>
          <w:sz w:val="32"/>
          <w:szCs w:val="32"/>
          <w:u w:val="none"/>
          <w:shd w:fill="auto" w:val="clear"/>
        </w:rPr>
        <w:t>养老服务</w:t>
      </w:r>
      <w:r>
        <w:rPr>
          <w:rFonts w:ascii="CESI仿宋-GB2312;仿宋" w:hAnsi="CESI仿宋-GB2312;仿宋" w:cs="CESI仿宋-GB2312;仿宋" w:hint="eastAsia" w:eastAsia="CESI仿宋-GB2312;仿宋"/>
          <w:b w:val="false"/>
          <w:bCs w:val="false"/>
          <w:i w:val="false"/>
          <w:iCs w:val="false"/>
          <w:color w:val="000000"/>
          <w:sz w:val="32"/>
          <w:szCs w:val="32"/>
          <w:u w:val="none"/>
        </w:rPr>
        <w:t>相关专业或者</w:t>
      </w:r>
      <w:r>
        <w:rPr>
          <w:rFonts w:ascii="CESI仿宋-GB2312;仿宋" w:hAnsi="CESI仿宋-GB2312;仿宋" w:cs="CESI仿宋-GB2312;仿宋" w:hint="eastAsia" w:eastAsia="CESI仿宋-GB2312;仿宋"/>
          <w:i w:val="false"/>
          <w:iCs w:val="false"/>
          <w:color w:val="000000"/>
          <w:sz w:val="32"/>
          <w:szCs w:val="32"/>
          <w:u w:val="none"/>
          <w:shd w:fill="auto" w:val="clear"/>
        </w:rPr>
        <w:t>培训</w:t>
      </w:r>
      <w:r>
        <w:rPr>
          <w:rFonts w:ascii="CESI仿宋-GB2312;仿宋" w:hAnsi="CESI仿宋-GB2312;仿宋" w:cs="CESI仿宋-GB2312;仿宋" w:hint="eastAsia" w:eastAsia="CESI仿宋-GB2312;仿宋"/>
          <w:b w:val="false"/>
          <w:bCs w:val="false"/>
          <w:i w:val="false"/>
          <w:iCs w:val="false"/>
          <w:color w:val="000000"/>
          <w:sz w:val="32"/>
          <w:szCs w:val="32"/>
          <w:u w:val="none"/>
        </w:rPr>
        <w:t>项目</w:t>
      </w:r>
      <w:r>
        <w:rPr>
          <w:rFonts w:ascii="CESI仿宋-GB2312;仿宋" w:hAnsi="CESI仿宋-GB2312;仿宋" w:cs="CESI仿宋-GB2312;仿宋" w:hint="eastAsia" w:eastAsia="CESI仿宋-GB2312;仿宋"/>
          <w:i w:val="false"/>
          <w:iCs w:val="false"/>
          <w:color w:val="000000"/>
          <w:sz w:val="32"/>
          <w:szCs w:val="32"/>
          <w:u w:val="none"/>
          <w:shd w:fill="auto" w:val="clear"/>
        </w:rPr>
        <w:t>。</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符合条件的养老护理服务人员应当纳入技能人才管理；养老护理服务人员参加相应技能培训的，按照规定享受补贴。</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鼓励养老服务机构利用自身设施和服务资源，为老年人的家庭成员或者家政服务人员提供技能培训。</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70" w:before="437" w:after="437"/>
        <w:ind w:firstLineChars="0" w:firstLine="0" w:startChars="0" w:start="0" w:endChars="0" w:end="0"/>
        <w:jc w:val="center"/>
        <w:textAlignment w:val="auto"/>
        <w:rPr>
          <w:rFonts w:hint="eastAsia"/>
        </w:rPr>
      </w:pPr>
      <w:r>
        <w:rPr>
          <w:rFonts w:ascii="CESI黑体-GB2312;黑体" w:hAnsi="CESI黑体-GB2312;黑体" w:cs="CESI黑体-GB2312;黑体" w:hint="eastAsia" w:eastAsia="CESI黑体-GB2312;黑体"/>
          <w:bCs/>
          <w:i w:val="false"/>
          <w:iCs w:val="false"/>
          <w:color w:val="000000"/>
          <w:sz w:val="32"/>
          <w:szCs w:val="32"/>
          <w:u w:val="none"/>
        </w:rPr>
        <w:t>第四章  社会优待</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bdr w:val="single" w:sz="4" w:space="0" w:color="000000"/>
          <w:shd w:fill="E5E5E5" w:val="clear"/>
        </w:rPr>
      </w:pPr>
      <w:r>
        <w:rPr>
          <w:rFonts w:ascii="黑体" w:hAnsi="黑体" w:cs="黑体" w:hint="eastAsia" w:eastAsia="黑体"/>
          <w:b w:val="false"/>
          <w:bCs w:val="false"/>
          <w:i w:val="false"/>
          <w:iCs w:val="false"/>
          <w:color w:val="000000"/>
          <w:sz w:val="32"/>
          <w:szCs w:val="32"/>
          <w:u w:val="none"/>
        </w:rPr>
        <w:t>第三十三条</w:t>
      </w:r>
      <w:r>
        <w:rPr>
          <w:rFonts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市、区人民政府和有关部门所属的服务窗口应当为老年人办理相关事项提供咨询引导、智能设备的操作指导等服务。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供水、供电、燃气、通信和邮政等公共服务单位应当为老年人提供优先服务，并在服务场所设置明显的优待标识。</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第三十四条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医疗机构应当通过完善挂号和诊疗系统、开设专用窗口或者快速通道，以及提供导医服务等方式，为老年人就医提供方便和优先服务。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第三十五条</w:t>
      </w:r>
      <w:r>
        <w:rPr>
          <w:rFonts w:ascii="CESI仿宋-GB2312;仿宋" w:hAnsi="CESI仿宋-GB2312;仿宋" w:cs="CESI仿宋-GB2312;仿宋" w:hint="eastAsia" w:eastAsia="CESI仿宋-GB2312;仿宋"/>
          <w:b/>
          <w:bCs/>
          <w:i w:val="false"/>
          <w:iCs w:val="false"/>
          <w:color w:val="000000"/>
          <w:kern w:val="0"/>
          <w:sz w:val="32"/>
          <w:szCs w:val="32"/>
          <w:u w:val="none"/>
        </w:rPr>
        <w:t xml:space="preserve">  </w:t>
      </w:r>
      <w:r>
        <w:rPr>
          <w:rFonts w:ascii="CESI仿宋-GB2312;仿宋" w:hAnsi="CESI仿宋-GB2312;仿宋" w:cs="CESI仿宋-GB2312;仿宋" w:hint="eastAsia" w:eastAsia="CESI仿宋-GB2312;仿宋"/>
          <w:i w:val="false"/>
          <w:iCs w:val="false"/>
          <w:color w:val="000000"/>
          <w:kern w:val="0"/>
          <w:sz w:val="32"/>
          <w:szCs w:val="32"/>
          <w:u w:val="none"/>
        </w:rPr>
        <w:t>不动产登记机构应当为老年人提供优先服务，在办理涉及处分老年人的不动产或者可能侵害老年人合法权益的不动产登记时，应当提示相应风险。</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b/>
          <w:bCs/>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第三十六条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金融、通信、公证等</w:t>
      </w:r>
      <w:r>
        <w:rPr>
          <w:rFonts w:ascii="CESI仿宋-GB2312;仿宋" w:hAnsi="CESI仿宋-GB2312;仿宋" w:cs="CESI仿宋-GB2312;仿宋" w:hint="eastAsia" w:eastAsia="CESI仿宋-GB2312;仿宋"/>
          <w:i w:val="false"/>
          <w:iCs w:val="false"/>
          <w:color w:val="000000"/>
          <w:sz w:val="32"/>
          <w:szCs w:val="32"/>
          <w:u w:val="none"/>
          <w:shd w:fill="auto" w:val="clear"/>
        </w:rPr>
        <w:t>机构对必须本人亲自到场办理的业务，</w:t>
      </w:r>
      <w:r>
        <w:rPr>
          <w:rFonts w:ascii="CESI仿宋-GB2312;仿宋" w:hAnsi="CESI仿宋-GB2312;仿宋" w:cs="CESI仿宋-GB2312;仿宋" w:hint="eastAsia" w:eastAsia="CESI仿宋-GB2312;仿宋"/>
          <w:i w:val="false"/>
          <w:iCs w:val="false"/>
          <w:color w:val="000000"/>
          <w:sz w:val="32"/>
          <w:szCs w:val="32"/>
          <w:u w:val="none"/>
        </w:rPr>
        <w:t>在符合相关要求前提下，接受预约为行动不便的老年人提供上门服务。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金融机构在老年人办理转账、汇款、购买金融产品等业务时，应当提示相应风险。</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第三十七条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市、区人民政府建立完善向符合条件的老年人提供市内公共交通免费出行或者补贴的政策措施。</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公共交通运营单位应当为老年人提供优待和照顾。</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公共交通工具应当设置爱心专座，并定时播放广播，鼓励、提醒乘客主动为老年人等需要帮助的乘客让座。</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第三十八条 </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博物馆、美术馆、科技馆、纪念馆、图书馆、文化馆（站）、影剧院、体育场馆、公园、</w:t>
      </w:r>
      <w:r>
        <w:rPr>
          <w:rFonts w:ascii="CESI仿宋-GB2312;仿宋" w:hAnsi="CESI仿宋-GB2312;仿宋" w:cs="CESI仿宋-GB2312;仿宋" w:hint="eastAsia" w:eastAsia="CESI仿宋-GB2312;仿宋"/>
          <w:b w:val="false"/>
          <w:bCs w:val="false"/>
          <w:i w:val="false"/>
          <w:iCs w:val="false"/>
          <w:color w:val="000000"/>
          <w:sz w:val="32"/>
          <w:szCs w:val="32"/>
          <w:u w:val="none"/>
          <w:shd w:fill="auto" w:val="clear"/>
        </w:rPr>
        <w:t>景</w:t>
      </w:r>
      <w:r>
        <w:rPr>
          <w:rFonts w:ascii="CESI仿宋-GB2312;仿宋" w:hAnsi="CESI仿宋-GB2312;仿宋" w:cs="CESI仿宋-GB2312;仿宋" w:hint="eastAsia" w:eastAsia="CESI仿宋-GB2312;仿宋"/>
          <w:i w:val="false"/>
          <w:iCs w:val="false"/>
          <w:color w:val="000000"/>
          <w:sz w:val="32"/>
          <w:szCs w:val="32"/>
          <w:u w:val="none"/>
        </w:rPr>
        <w:t>区等场所，应当</w:t>
      </w:r>
      <w:r>
        <w:rPr>
          <w:rFonts w:ascii="CESI仿宋-GB2312;仿宋" w:hAnsi="CESI仿宋-GB2312;仿宋" w:cs="CESI仿宋-GB2312;仿宋" w:hint="eastAsia" w:eastAsia="CESI仿宋-GB2312;仿宋"/>
          <w:i w:val="false"/>
          <w:iCs w:val="false"/>
          <w:color w:val="000000"/>
          <w:sz w:val="32"/>
          <w:szCs w:val="32"/>
          <w:u w:val="none"/>
          <w:shd w:fill="auto" w:val="clear"/>
        </w:rPr>
        <w:t>对</w:t>
      </w:r>
      <w:r>
        <w:rPr>
          <w:rFonts w:ascii="CESI仿宋-GB2312;仿宋" w:hAnsi="CESI仿宋-GB2312;仿宋" w:cs="CESI仿宋-GB2312;仿宋" w:hint="eastAsia" w:eastAsia="CESI仿宋-GB2312;仿宋"/>
          <w:i w:val="false"/>
          <w:iCs w:val="false"/>
          <w:color w:val="000000"/>
          <w:sz w:val="32"/>
          <w:szCs w:val="32"/>
          <w:u w:val="none"/>
        </w:rPr>
        <w:t>老年人免费或者优惠开放。</w:t>
      </w:r>
    </w:p>
    <w:p>
      <w:pPr>
        <w:pStyle w:val="Normal"/>
        <w:keepNext w:val="false"/>
        <w:keepLines w:val="false"/>
        <w:pageBreakBefore w:val="false"/>
        <w:widowControl w:val="false"/>
        <w:kinsoku w:val="true"/>
        <w:overflowPunct w:val="false"/>
        <w:autoSpaceDE w:val="true"/>
        <w:bidi w:val="0"/>
        <w:snapToGrid w:val="true"/>
        <w:spacing w:lineRule="exact" w:line="570"/>
        <w:textAlignment w:val="auto"/>
        <w:rPr>
          <w:rFonts w:ascii="CESI仿宋-GB2312;仿宋" w:hAnsi="CESI仿宋-GB2312;仿宋" w:eastAsia="CESI仿宋-GB2312;仿宋" w:cs="CESI仿宋-GB2312;仿宋"/>
          <w:i w:val="false"/>
          <w:iCs w:val="false"/>
          <w:color w:val="000000"/>
          <w:sz w:val="32"/>
          <w:szCs w:val="32"/>
          <w:u w:val="none"/>
        </w:rPr>
      </w:pPr>
      <w:r>
        <w:rPr>
          <w:rFonts w:eastAsia="CESI仿宋-GB2312;仿宋" w:cs="CESI仿宋-GB2312;仿宋" w:hint="eastAsia" w:ascii="CESI仿宋-GB2312;仿宋" w:hAnsi="CESI仿宋-GB2312;仿宋"/>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支持体育场馆设置适合老年人体育健身活动的设施，设置安全警示标识，采取相应的安全防护措施。</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第三十九条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在实施保障性租赁房等住房保障制度或者进行危旧房屋改造时，按照规定照顾老年人的特殊需求。</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kern w:val="0"/>
          <w:sz w:val="32"/>
          <w:szCs w:val="32"/>
          <w:u w:val="none"/>
        </w:rPr>
      </w:pPr>
      <w:r>
        <w:rPr>
          <w:rFonts w:ascii="黑体" w:hAnsi="黑体" w:cs="黑体" w:hint="eastAsia" w:eastAsia="黑体"/>
          <w:b w:val="false"/>
          <w:bCs w:val="false"/>
          <w:i w:val="false"/>
          <w:iCs w:val="false"/>
          <w:color w:val="000000"/>
          <w:sz w:val="32"/>
          <w:szCs w:val="32"/>
          <w:u w:val="none"/>
        </w:rPr>
        <w:t>第四十条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kern w:val="0"/>
          <w:sz w:val="32"/>
          <w:szCs w:val="32"/>
          <w:u w:val="none"/>
        </w:rPr>
        <w:t>行动不便的老年人申领居民身份证时</w:t>
      </w:r>
      <w:r>
        <w:rPr>
          <w:rFonts w:ascii="CESI仿宋-GB2312;仿宋" w:hAnsi="CESI仿宋-GB2312;仿宋" w:cs="CESI仿宋-GB2312;仿宋" w:hint="eastAsia" w:eastAsia="CESI仿宋-GB2312;仿宋"/>
          <w:i w:val="false"/>
          <w:iCs w:val="false"/>
          <w:color w:val="000000"/>
          <w:sz w:val="32"/>
          <w:szCs w:val="32"/>
          <w:u w:val="none"/>
        </w:rPr>
        <w:t>，公安机关应当</w:t>
      </w:r>
      <w:r>
        <w:rPr>
          <w:rFonts w:ascii="CESI仿宋-GB2312;仿宋" w:hAnsi="CESI仿宋-GB2312;仿宋" w:cs="CESI仿宋-GB2312;仿宋" w:hint="eastAsia" w:eastAsia="CESI仿宋-GB2312;仿宋"/>
          <w:i w:val="false"/>
          <w:iCs w:val="false"/>
          <w:color w:val="000000"/>
          <w:kern w:val="0"/>
          <w:sz w:val="32"/>
          <w:szCs w:val="32"/>
          <w:u w:val="none"/>
        </w:rPr>
        <w:t>根据实际情况提供上门采集人像信息、指纹信息等便利服务。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kern w:val="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公安机关利用寻找平台协助寻找走失的老年人。</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第四十一条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司法行政部门应当完善法律援助服务网络，为老年人提供法律咨询，对符合条件的老年人依法提供法律援助。</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鼓励律师事务所、司法鉴定机构等法律服务机构为经济困难的老年人提供免费或者优惠服务。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公证机构在办理扶养、助养、赡养老年人的协议公证时，根据老年人家庭的经济情况，依法给予减免公证费用。</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第四十二条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老年人因其合法权益受到侵害提起诉讼，人民法院应当为老年人提供诉讼便利，加强诉讼引导和风险提示</w:t>
      </w:r>
      <w:r>
        <w:rPr>
          <w:rFonts w:ascii="CESI仿宋-GB2312;仿宋" w:hAnsi="CESI仿宋-GB2312;仿宋" w:cs="CESI仿宋-GB2312;仿宋" w:hint="eastAsia" w:eastAsia="CESI仿宋-GB2312;仿宋"/>
          <w:b w:val="false"/>
          <w:bCs w:val="false"/>
          <w:i w:val="false"/>
          <w:iCs w:val="false"/>
          <w:color w:val="000000"/>
          <w:sz w:val="32"/>
          <w:szCs w:val="32"/>
          <w:u w:val="none"/>
          <w:shd w:fill="auto" w:val="clear"/>
        </w:rPr>
        <w:t>；对</w:t>
      </w:r>
      <w:r>
        <w:rPr>
          <w:rFonts w:ascii="CESI仿宋-GB2312;仿宋" w:hAnsi="CESI仿宋-GB2312;仿宋" w:cs="CESI仿宋-GB2312;仿宋" w:hint="eastAsia" w:eastAsia="CESI仿宋-GB2312;仿宋"/>
          <w:i w:val="false"/>
          <w:iCs w:val="false"/>
          <w:color w:val="000000"/>
          <w:sz w:val="32"/>
          <w:szCs w:val="32"/>
          <w:u w:val="none"/>
        </w:rPr>
        <w:t>交纳诉讼费用确有困难的，应当按照规定免收、减收或者缓收诉讼费用。</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第四十三条</w:t>
      </w:r>
      <w:r>
        <w:rPr>
          <w:rFonts w:ascii="CESI仿宋-GB2312;仿宋" w:hAnsi="CESI仿宋-GB2312;仿宋" w:cs="CESI仿宋-GB2312;仿宋" w:hint="eastAsia" w:eastAsia="CESI仿宋-GB2312;仿宋"/>
          <w:i w:val="false"/>
          <w:iCs w:val="false"/>
          <w:color w:val="000000"/>
          <w:sz w:val="32"/>
          <w:szCs w:val="32"/>
          <w:u w:val="none"/>
        </w:rPr>
        <w:t xml:space="preserve">  市、区人民政府及有关部门、人民法院、人民检察院和村（居）民委员会、基层人民调解组织应当按照各自职责，加强涉及老年人矛盾纠纷排查调处，及时有效化解涉及老年人的各类纠纷。 </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70" w:before="437" w:after="437"/>
        <w:ind w:firstLineChars="0" w:firstLine="0" w:startChars="0" w:start="0" w:endChars="0" w:end="0"/>
        <w:jc w:val="center"/>
        <w:textAlignment w:val="auto"/>
        <w:rPr>
          <w:rFonts w:hint="eastAsia"/>
        </w:rPr>
      </w:pPr>
      <w:r>
        <w:rPr>
          <w:rFonts w:ascii="CESI黑体-GB2312;黑体" w:hAnsi="CESI黑体-GB2312;黑体" w:cs="CESI黑体-GB2312;黑体" w:hint="eastAsia" w:eastAsia="CESI黑体-GB2312;黑体"/>
          <w:bCs/>
          <w:i w:val="false"/>
          <w:iCs w:val="false"/>
          <w:color w:val="000000"/>
          <w:sz w:val="32"/>
          <w:szCs w:val="32"/>
          <w:u w:val="none"/>
        </w:rPr>
        <w:t>第五章  宜居环境</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第四十四条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市、区人民政府在城市规划、建设和管理中，应当统筹考虑老年人的生活、医疗、出行、文化、教育、体育等需求，推进老年宜居环境建设，为老年人提供安全、便利和舒适的环境。</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第四十五条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道路、公共建筑、公共交通设施、居住建筑、居住区，应当符合无障碍设施工程建设标准。</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i w:val="false"/>
          <w:iCs w:val="false"/>
          <w:color w:val="000000"/>
          <w:sz w:val="32"/>
          <w:szCs w:val="32"/>
          <w:u w:val="none"/>
          <w:lang w:val="en"/>
        </w:rPr>
      </w:pPr>
      <w:r>
        <w:rPr>
          <w:rFonts w:ascii="CESI仿宋-GB2312;仿宋" w:hAnsi="CESI仿宋-GB2312;仿宋" w:cs="CESI仿宋-GB2312;仿宋" w:hint="eastAsia" w:eastAsia="CESI仿宋-GB2312;仿宋"/>
          <w:i w:val="false"/>
          <w:iCs w:val="false"/>
          <w:color w:val="000000"/>
          <w:sz w:val="32"/>
          <w:szCs w:val="32"/>
          <w:u w:val="none"/>
        </w:rPr>
        <w:t>行人过街设施设置应当充分考虑老年人出行需求，合理施划人行横道。新建人行天桥和人行地下通道应当按照规范要求设置电梯和顶棚；已建成且具备条件的，应当通过改造予以增设。</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公园应当设置休息座椅；城区主要街道两侧、公交站点等公共场所，有条件的应当设置休息座椅。</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公共厕所应当安装适老辅助设施，方便老年人使用。</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b/>
          <w:bCs/>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第四十六条  </w:t>
      </w:r>
      <w:r>
        <w:rPr>
          <w:rFonts w:ascii="CESI仿宋-GB2312;仿宋" w:hAnsi="CESI仿宋-GB2312;仿宋" w:cs="CESI仿宋-GB2312;仿宋" w:hint="eastAsia" w:eastAsia="CESI仿宋-GB2312;仿宋"/>
          <w:i w:val="false"/>
          <w:iCs w:val="false"/>
          <w:color w:val="000000"/>
          <w:sz w:val="32"/>
          <w:szCs w:val="32"/>
          <w:u w:val="none"/>
        </w:rPr>
        <w:t>市、区人民政府应当将居家适老化改造纳入养老服务体系建设统筹推进，加强宣传和指导工作，制定老年人居家适老化改造项目清单，明确改造项目、标准和补助方式。</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专门为老年人设计的居住建筑，应当符合老年人居住建筑设计标准，满足老年人对居住场所的安全、卫生、便利、舒适等基本要求。</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鼓励对既有的居住建筑进行适老化改造，</w:t>
      </w:r>
      <w:r>
        <w:rPr>
          <w:rFonts w:ascii="CESI仿宋-GB2312;仿宋" w:hAnsi="CESI仿宋-GB2312;仿宋" w:cs="CESI仿宋-GB2312;仿宋" w:hint="eastAsia" w:eastAsia="CESI仿宋-GB2312;仿宋"/>
          <w:i w:val="false"/>
          <w:iCs w:val="false"/>
          <w:color w:val="000000"/>
          <w:sz w:val="32"/>
          <w:szCs w:val="32"/>
          <w:u w:val="none"/>
        </w:rPr>
        <w:t>支持多层住宅加装电梯，</w:t>
      </w:r>
      <w:r>
        <w:rPr>
          <w:rFonts w:ascii="CESI仿宋-GB2312;仿宋" w:hAnsi="CESI仿宋-GB2312;仿宋" w:cs="CESI仿宋-GB2312;仿宋" w:hint="eastAsia" w:eastAsia="CESI仿宋-GB2312;仿宋"/>
          <w:i w:val="false"/>
          <w:iCs w:val="false"/>
          <w:color w:val="000000"/>
          <w:sz w:val="32"/>
          <w:szCs w:val="32"/>
          <w:u w:val="none"/>
        </w:rPr>
        <w:t>建设社区步行路网，清除</w:t>
      </w:r>
      <w:r>
        <w:rPr>
          <w:rFonts w:ascii="CESI仿宋-GB2312;仿宋" w:hAnsi="CESI仿宋-GB2312;仿宋" w:cs="CESI仿宋-GB2312;仿宋" w:eastAsia="CESI仿宋-GB2312;仿宋"/>
          <w:i w:val="false"/>
          <w:iCs w:val="false"/>
          <w:color w:val="000000"/>
          <w:sz w:val="32"/>
          <w:szCs w:val="32"/>
          <w:u w:val="none"/>
          <w:lang w:val="en"/>
        </w:rPr>
        <w:t>居住（</w:t>
      </w:r>
      <w:r>
        <w:rPr>
          <w:rFonts w:ascii="CESI仿宋-GB2312;仿宋" w:hAnsi="CESI仿宋-GB2312;仿宋" w:cs="CESI仿宋-GB2312;仿宋" w:hint="eastAsia" w:eastAsia="CESI仿宋-GB2312;仿宋"/>
          <w:i w:val="false"/>
          <w:iCs w:val="false"/>
          <w:color w:val="000000"/>
          <w:sz w:val="32"/>
          <w:szCs w:val="32"/>
          <w:u w:val="none"/>
        </w:rPr>
        <w:t>小</w:t>
      </w:r>
      <w:r>
        <w:rPr>
          <w:rFonts w:ascii="CESI仿宋-GB2312;仿宋" w:hAnsi="CESI仿宋-GB2312;仿宋" w:cs="CESI仿宋-GB2312;仿宋" w:eastAsia="CESI仿宋-GB2312;仿宋"/>
          <w:i w:val="false"/>
          <w:iCs w:val="false"/>
          <w:color w:val="000000"/>
          <w:sz w:val="32"/>
          <w:szCs w:val="32"/>
          <w:u w:val="none"/>
          <w:lang w:val="en"/>
        </w:rPr>
        <w:t>）</w:t>
      </w:r>
      <w:r>
        <w:rPr>
          <w:rFonts w:ascii="CESI仿宋-GB2312;仿宋" w:hAnsi="CESI仿宋-GB2312;仿宋" w:cs="CESI仿宋-GB2312;仿宋" w:hint="eastAsia" w:eastAsia="CESI仿宋-GB2312;仿宋"/>
          <w:i w:val="false"/>
          <w:iCs w:val="false"/>
          <w:color w:val="000000"/>
          <w:sz w:val="32"/>
          <w:szCs w:val="32"/>
          <w:u w:val="none"/>
        </w:rPr>
        <w:t>区步行道路障碍物。老旧小区改造应当将适老化改造作为重点内容。</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对符合条件的失能老年人或者经济困难老年人的家庭设施进行适老化改造的，由市、区人民政府给予适当补助。</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第四十七条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区人民政府和有关部门应当采取政策措施，推进充分兼顾老年人需要的智慧社会建设，解决老年人在运用智能技术方面遇到的困难，切实保障老年人基本服务需要，不断提升智能化服务水平，让老年人更好共享信息化发展成果。</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第四十八条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与老年人日常生活密切相关的各类服务机构应当为老年人办理相关业务保留现场服务、现金支付等方式，</w:t>
      </w:r>
      <w:r>
        <w:rPr>
          <w:rFonts w:ascii="CESI仿宋-GB2312;仿宋" w:hAnsi="CESI仿宋-GB2312;仿宋" w:cs="CESI仿宋-GB2312;仿宋" w:eastAsia="CESI仿宋-GB2312;仿宋"/>
          <w:i w:val="false"/>
          <w:iCs w:val="false"/>
          <w:color w:val="000000"/>
          <w:sz w:val="32"/>
          <w:szCs w:val="32"/>
          <w:u w:val="none"/>
        </w:rPr>
        <w:t>提供</w:t>
      </w:r>
      <w:r>
        <w:rPr>
          <w:rFonts w:ascii="CESI仿宋-GB2312;仿宋" w:hAnsi="CESI仿宋-GB2312;仿宋" w:cs="CESI仿宋-GB2312;仿宋" w:hint="eastAsia" w:eastAsia="CESI仿宋-GB2312;仿宋"/>
          <w:i w:val="false"/>
          <w:iCs w:val="false"/>
          <w:color w:val="000000"/>
          <w:sz w:val="32"/>
          <w:szCs w:val="32"/>
          <w:u w:val="none"/>
        </w:rPr>
        <w:t>相应的人工服务。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各级政务服务平台应当具备授权代理、亲友代办等功能，优化政务服务，方便老年人网上办事。</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医疗机构应当简化网上办理就医服务流程，提供多渠道挂号等就诊服务，完善电话、网络、现场等多种预约挂号方式，提供一定比例的现场号源，保留挂号、缴费、打印检验报告等人工服务窗口。</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需要提前预约的博物馆、美术馆、科技馆、纪念馆、图书馆、文化馆（站）、影剧院、体育场馆、公园、</w:t>
      </w:r>
      <w:r>
        <w:rPr>
          <w:rFonts w:ascii="CESI仿宋-GB2312;仿宋" w:hAnsi="CESI仿宋-GB2312;仿宋" w:cs="CESI仿宋-GB2312;仿宋" w:hint="eastAsia" w:eastAsia="CESI仿宋-GB2312;仿宋"/>
          <w:b w:val="false"/>
          <w:bCs w:val="false"/>
          <w:i w:val="false"/>
          <w:iCs w:val="false"/>
          <w:color w:val="000000"/>
          <w:sz w:val="32"/>
          <w:szCs w:val="32"/>
          <w:u w:val="none"/>
          <w:shd w:fill="auto" w:val="clear"/>
        </w:rPr>
        <w:t>景</w:t>
      </w:r>
      <w:r>
        <w:rPr>
          <w:rFonts w:ascii="CESI仿宋-GB2312;仿宋" w:hAnsi="CESI仿宋-GB2312;仿宋" w:cs="CESI仿宋-GB2312;仿宋" w:hint="eastAsia" w:eastAsia="CESI仿宋-GB2312;仿宋"/>
          <w:i w:val="false"/>
          <w:iCs w:val="false"/>
          <w:color w:val="000000"/>
          <w:sz w:val="32"/>
          <w:szCs w:val="32"/>
          <w:u w:val="none"/>
        </w:rPr>
        <w:t>区等场所，应当保留人工窗口和电话专线，为老年人保留一定数量的线下免预约进入或者购票名额，提供必要的信息引导、人工帮扶等服务。</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第四十九条</w:t>
      </w:r>
      <w:r>
        <w:rPr>
          <w:rFonts w:ascii="CESI仿宋-GB2312;仿宋" w:hAnsi="CESI仿宋-GB2312;仿宋" w:cs="CESI仿宋-GB2312;仿宋" w:hint="eastAsia" w:eastAsia="CESI仿宋-GB2312;仿宋"/>
          <w:i w:val="false"/>
          <w:iCs w:val="false"/>
          <w:color w:val="000000"/>
          <w:sz w:val="32"/>
          <w:szCs w:val="32"/>
          <w:u w:val="none"/>
        </w:rPr>
        <w:t xml:space="preserve">  扶持和引导企业研发、生产、经营适合老年人需求的家居、康复辅助等产品，开发智能辅具、智能家居以及健康监测、养老照护等领域的智能终端产品。</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鼓励智能终端产品、互联网应用适老化改造，便利老年人获取信息和服务。</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70" w:before="437" w:after="437"/>
        <w:ind w:firstLineChars="0" w:firstLine="0" w:startChars="0" w:start="0" w:endChars="0" w:end="0"/>
        <w:jc w:val="center"/>
        <w:textAlignment w:val="auto"/>
        <w:rPr/>
      </w:pPr>
      <w:r>
        <w:rPr>
          <w:rFonts w:ascii="CESI黑体-GB2312;黑体" w:hAnsi="CESI黑体-GB2312;黑体" w:cs="CESI黑体-GB2312;黑体" w:hint="eastAsia" w:eastAsia="CESI黑体-GB2312;黑体"/>
          <w:bCs/>
          <w:i w:val="false"/>
          <w:iCs w:val="false"/>
          <w:color w:val="000000"/>
          <w:sz w:val="32"/>
          <w:szCs w:val="32"/>
          <w:u w:val="none"/>
        </w:rPr>
        <w:t>第六章  参与社会发展</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第五十条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市、区人民政府应当制定老年人力资源开发利用政策，有关部门应当统计本地区、本行业老年专业人才信息，建立老年人才资源库，推动老年人才与经济社会发展需求融合对接。</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第五十一条 </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鼓励和支持各类老年人组织依法开展活动，在经济、政治、文化和社会建设中发挥作用。</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鼓励社会力量为老年人组织建设提供资金、设备或者场地支持。</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第五十二条 </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鼓励老年人依法通过各种途径和形式，参与国家和社会事务管理。</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老年人和老年人组织有权向国家机关提出老年人权益保障、老龄事业发展等方面的意见和建议。制定法规、规章和公共政策涉及老年人权益重大问题的，应当听取老年人和老年人组织的意见。</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鼓励老年人在自愿和量力的情况下，发挥自身优势和专长，依法开展优良传统教育，传授文化科技知识，参与科技开发和应用，从事生产经营，提供咨询服务，参与社区管理、邻里互助、低龄健康老年人与高龄困难老年人结对帮扶、治安维护以及调解等各类社会活动。</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第五十三条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市、区人民政府应当加大老年教育投入，支持办好老年大学（学校），建立市、区、镇（街）、村（居）四级老年教育网络。</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市教育主管部门负责全市老年教育业务指导和协调服务，应当将老年教育列入教育发展规划和终身教育体系，建立全市老年教育师资库。</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鼓励开发老年教育网络学习资源，发展远程老年教育。</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鼓励社会力量设立老年教育发展基金，举办老年教育机构，依托各类老年服务机构开展老年教育。鼓励养老机构与老年大学（学校）合作开展老年教育，探索医、养、教融合的养老新模式。</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CESI仿宋-GB2312;仿宋" w:hAnsi="CESI仿宋-GB2312;仿宋" w:cs="CESI仿宋-GB2312;仿宋" w:hint="eastAsia" w:eastAsia="CESI仿宋-GB2312;仿宋"/>
          <w:i w:val="false"/>
          <w:iCs w:val="false"/>
          <w:color w:val="000000"/>
          <w:sz w:val="32"/>
          <w:szCs w:val="32"/>
          <w:u w:val="none"/>
        </w:rPr>
        <w:t>支持老年教育机构、养老服务机构、社区等开展老年人智能技术教育，引导老年人参与智能技术的学习、体验和交流活动，提高老年人对智能化应用的操作能力。</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第五十四条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发展老年体育，将老年体育纳入全民健身实施计划，增加老年体育投入。</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eastAsia="CESI仿宋-GB2312;仿宋" w:hint="eastAsia"/>
          <w:color w:val="000000"/>
          <w:u w:val="none"/>
        </w:rPr>
      </w:pPr>
      <w:r>
        <w:rPr>
          <w:rFonts w:ascii="CESI仿宋-GB2312;仿宋" w:hAnsi="CESI仿宋-GB2312;仿宋" w:cs="CESI仿宋-GB2312;仿宋" w:hint="eastAsia" w:eastAsia="CESI仿宋-GB2312;仿宋"/>
          <w:i w:val="false"/>
          <w:iCs w:val="false"/>
          <w:color w:val="000000"/>
          <w:sz w:val="32"/>
          <w:szCs w:val="32"/>
          <w:u w:val="none"/>
        </w:rPr>
        <w:t>市、区、镇（街）、村（居）应当根据本辖区内老年人口的分布状况，发挥各类老年人体育组织的作用，壮大老年体育健身辅导员队伍，开展老年体育健身活动，合理设置老年体育以及其他老年活动场所。</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第五十五条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积极开展适合老年人的群众性文化、娱乐、旅游等活动，利用节假日、纪念日、庆典日，组织老年文化项目展示交流，丰富老年人精神文化生活。</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70" w:before="437" w:after="437"/>
        <w:ind w:firstLineChars="0" w:firstLine="0" w:startChars="0" w:start="0" w:endChars="0" w:end="0"/>
        <w:jc w:val="center"/>
        <w:textAlignment w:val="auto"/>
        <w:rPr>
          <w:rFonts w:hint="eastAsia"/>
        </w:rPr>
      </w:pPr>
      <w:r>
        <w:rPr>
          <w:rFonts w:ascii="CESI黑体-GB2312;黑体" w:hAnsi="CESI黑体-GB2312;黑体" w:cs="CESI黑体-GB2312;黑体" w:hint="eastAsia" w:eastAsia="CESI黑体-GB2312;黑体"/>
          <w:bCs/>
          <w:i w:val="false"/>
          <w:iCs w:val="false"/>
          <w:color w:val="000000"/>
          <w:sz w:val="32"/>
          <w:szCs w:val="32"/>
          <w:u w:val="none"/>
        </w:rPr>
        <w:t>第七章  法律责任</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CESI仿宋-GB2312;仿宋" w:hAnsi="CESI仿宋-GB2312;仿宋" w:eastAsia="CESI仿宋-GB2312;仿宋" w:cs="CESI仿宋-GB2312;仿宋" w:hint="eastAsia"/>
          <w:b w:val="false"/>
          <w:bCs w:val="false"/>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第五十六条 </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shd w:fill="auto" w:val="clear"/>
        </w:rPr>
        <w:t>新建居住（小）区</w:t>
      </w:r>
      <w:r>
        <w:rPr>
          <w:rFonts w:ascii="CESI仿宋-GB2312;仿宋" w:hAnsi="CESI仿宋-GB2312;仿宋" w:cs="CESI仿宋-GB2312;仿宋" w:hint="eastAsia" w:eastAsia="CESI仿宋-GB2312;仿宋"/>
          <w:b w:val="false"/>
          <w:bCs w:val="false"/>
          <w:i w:val="false"/>
          <w:iCs w:val="false"/>
          <w:color w:val="000000"/>
          <w:sz w:val="32"/>
          <w:szCs w:val="32"/>
          <w:u w:val="none"/>
        </w:rPr>
        <w:t>未按照规划许可配套建设养老服务设施的</w:t>
      </w:r>
      <w:r>
        <w:rPr>
          <w:rFonts w:ascii="CESI仿宋-GB2312;仿宋" w:hAnsi="CESI仿宋-GB2312;仿宋" w:cs="CESI仿宋-GB2312;仿宋" w:hint="eastAsia" w:eastAsia="CESI仿宋-GB2312;仿宋"/>
          <w:i w:val="false"/>
          <w:iCs w:val="false"/>
          <w:color w:val="000000"/>
          <w:sz w:val="32"/>
          <w:szCs w:val="32"/>
          <w:u w:val="none"/>
          <w:shd w:fill="auto" w:val="clear"/>
        </w:rPr>
        <w:t>，</w:t>
      </w:r>
      <w:r>
        <w:rPr>
          <w:rFonts w:ascii="CESI仿宋-GB2312;仿宋" w:hAnsi="CESI仿宋-GB2312;仿宋" w:cs="CESI仿宋-GB2312;仿宋" w:hint="eastAsia" w:eastAsia="CESI仿宋-GB2312;仿宋"/>
          <w:b w:val="false"/>
          <w:bCs w:val="false"/>
          <w:i w:val="false"/>
          <w:iCs w:val="false"/>
          <w:color w:val="000000"/>
          <w:sz w:val="32"/>
          <w:szCs w:val="32"/>
          <w:u w:val="none"/>
        </w:rPr>
        <w:t>由资源规划</w:t>
      </w:r>
      <w:r>
        <w:rPr>
          <w:rFonts w:ascii="CESI仿宋-GB2312;仿宋" w:hAnsi="CESI仿宋-GB2312;仿宋" w:cs="CESI仿宋-GB2312;仿宋" w:hint="eastAsia" w:eastAsia="CESI仿宋-GB2312;仿宋"/>
          <w:b w:val="false"/>
          <w:bCs w:val="false"/>
          <w:i w:val="false"/>
          <w:iCs w:val="false"/>
          <w:color w:val="000000"/>
          <w:sz w:val="32"/>
          <w:szCs w:val="32"/>
          <w:u w:val="none"/>
          <w:shd w:fill="auto" w:val="clear"/>
        </w:rPr>
        <w:t>主管</w:t>
      </w:r>
      <w:r>
        <w:rPr>
          <w:rFonts w:ascii="CESI仿宋-GB2312;仿宋" w:hAnsi="CESI仿宋-GB2312;仿宋" w:cs="CESI仿宋-GB2312;仿宋" w:hint="eastAsia" w:eastAsia="CESI仿宋-GB2312;仿宋"/>
          <w:b w:val="false"/>
          <w:bCs w:val="false"/>
          <w:i w:val="false"/>
          <w:iCs w:val="false"/>
          <w:color w:val="000000"/>
          <w:sz w:val="32"/>
          <w:szCs w:val="32"/>
          <w:u w:val="none"/>
        </w:rPr>
        <w:t>部门责令限期改正；逾期不配建的，不予规划核实，并由城市管理行政执法部门依法予以处罚。</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CESI仿宋-GB2312;仿宋" w:hAnsi="CESI仿宋-GB2312;仿宋" w:eastAsia="CESI仿宋-GB2312;仿宋" w:cs="CESI仿宋-GB2312;仿宋" w:hint="eastAsia"/>
          <w:b w:val="false"/>
          <w:bCs w:val="false"/>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第五十七条</w:t>
      </w:r>
      <w:r>
        <w:rPr>
          <w:rFonts w:ascii="CESI仿宋-GB2312;仿宋" w:hAnsi="CESI仿宋-GB2312;仿宋" w:cs="CESI仿宋-GB2312;仿宋" w:hint="eastAsia" w:eastAsia="CESI仿宋-GB2312;仿宋"/>
          <w:b w:val="false"/>
          <w:bCs w:val="false"/>
          <w:i w:val="false"/>
          <w:iCs w:val="false"/>
          <w:color w:val="000000"/>
          <w:sz w:val="32"/>
          <w:szCs w:val="32"/>
          <w:u w:val="none"/>
        </w:rPr>
        <w:t xml:space="preserve">  未经批准擅自改变国有土地养老服务设施用地用途的，由资源规划主管部门责令限期改正，并依法处理。</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CESI仿宋-GB2312;仿宋" w:hAnsi="CESI仿宋-GB2312;仿宋" w:eastAsia="CESI仿宋-GB2312;仿宋" w:cs="CESI仿宋-GB2312;仿宋" w:hint="eastAsia"/>
          <w:b w:val="false"/>
          <w:bCs w:val="false"/>
          <w:i w:val="false"/>
          <w:iCs w:val="false"/>
          <w:color w:val="000000"/>
          <w:sz w:val="32"/>
          <w:szCs w:val="32"/>
          <w:u w:val="none"/>
        </w:rPr>
      </w:pPr>
      <w:r>
        <w:rPr>
          <w:rFonts w:ascii="CESI仿宋-GB2312;仿宋" w:hAnsi="CESI仿宋-GB2312;仿宋" w:cs="CESI仿宋-GB2312;仿宋" w:hint="eastAsia" w:eastAsia="CESI仿宋-GB2312;仿宋"/>
          <w:b w:val="false"/>
          <w:bCs w:val="false"/>
          <w:i w:val="false"/>
          <w:iCs w:val="false"/>
          <w:color w:val="000000"/>
          <w:sz w:val="32"/>
          <w:szCs w:val="32"/>
          <w:u w:val="none"/>
        </w:rPr>
        <w:t>未经批准擅自改变养老服务设施使用性质的，由民政部门责令限期改正，有违法所得的，没收违法所得；逾期不改正的，处十万元以上三十万元以下罚款；情节严重的，处三十万元以上六十万元以下罚款。</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第五十八条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任何组织和个人对侵害老年人合法权益的行为，都有权制止、检举和控告。对侵害老年人合法权益的检举、控告、申诉，有关部门应当及时调查处理，不得推诿、拖延。</w:t>
      </w:r>
    </w:p>
    <w:p>
      <w:pPr>
        <w:pStyle w:val="2"/>
        <w:keepNext w:val="false"/>
        <w:keepLines w:val="false"/>
        <w:pageBreakBefore w:val="false"/>
        <w:widowControl w:val="false"/>
        <w:kinsoku w:val="true"/>
        <w:autoSpaceDE w:val="true"/>
        <w:bidi w:val="0"/>
        <w:snapToGrid w:val="true"/>
        <w:spacing w:lineRule="exact" w:line="580"/>
        <w:textAlignment w:val="auto"/>
        <w:rPr>
          <w:rFonts w:hint="eastAsia"/>
          <w:color w:val="000000"/>
          <w:u w:val="none"/>
        </w:rPr>
      </w:pPr>
      <w:r>
        <w:rPr>
          <w:rFonts w:ascii="CESI仿宋-GB2312;仿宋" w:hAnsi="CESI仿宋-GB2312;仿宋" w:cs="CESI仿宋-GB2312;仿宋" w:hint="eastAsia" w:eastAsia="CESI仿宋-GB2312;仿宋"/>
          <w:i w:val="false"/>
          <w:iCs w:val="false"/>
          <w:color w:val="000000"/>
          <w:sz w:val="32"/>
          <w:szCs w:val="32"/>
          <w:u w:val="none"/>
        </w:rPr>
        <w:t>社区工作人员、</w:t>
      </w:r>
      <w:r>
        <w:rPr>
          <w:rFonts w:ascii="CESI仿宋-GB2312;仿宋" w:hAnsi="CESI仿宋-GB2312;仿宋" w:cs="CESI仿宋-GB2312;仿宋" w:hint="eastAsia" w:eastAsia="CESI仿宋-GB2312;仿宋"/>
          <w:i w:val="false"/>
          <w:iCs w:val="false"/>
          <w:color w:val="000000"/>
          <w:sz w:val="32"/>
          <w:szCs w:val="32"/>
          <w:u w:val="none"/>
        </w:rPr>
        <w:t>社会工作者、</w:t>
      </w:r>
      <w:r>
        <w:rPr>
          <w:rFonts w:ascii="CESI仿宋-GB2312;仿宋" w:hAnsi="CESI仿宋-GB2312;仿宋" w:cs="CESI仿宋-GB2312;仿宋" w:hint="eastAsia" w:eastAsia="CESI仿宋-GB2312;仿宋"/>
          <w:i w:val="false"/>
          <w:iCs w:val="false"/>
          <w:color w:val="000000"/>
          <w:sz w:val="32"/>
          <w:szCs w:val="32"/>
          <w:u w:val="none"/>
        </w:rPr>
        <w:t>司法鉴定人员、医护人员等发现有歧视、侮辱、虐待老年人的行为，应当及时向公安等有关部门报告，有关部门应当依法处理。</w:t>
      </w:r>
    </w:p>
    <w:p>
      <w:pPr>
        <w:pStyle w:val="Normal"/>
        <w:keepNext w:val="false"/>
        <w:keepLines w:val="false"/>
        <w:pageBreakBefore w:val="false"/>
        <w:widowControl w:val="false"/>
        <w:kinsoku w:val="true"/>
        <w:overflowPunct w:val="false"/>
        <w:autoSpaceDE w:val="true"/>
        <w:bidi w:val="0"/>
        <w:snapToGrid w:val="true"/>
        <w:spacing w:lineRule="exact" w:line="580"/>
        <w:ind w:firstLineChars="200" w:startChars="0" w:start="0" w:endChars="0" w:end="0"/>
        <w:textAlignment w:val="auto"/>
        <w:rPr>
          <w:rFonts w:hint="eastAsia"/>
          <w:color w:val="000000"/>
          <w:u w:val="none"/>
        </w:rPr>
      </w:pPr>
      <w:r>
        <w:rPr>
          <w:rFonts w:ascii="黑体" w:hAnsi="黑体" w:cs="黑体" w:hint="eastAsia" w:eastAsia="黑体"/>
          <w:b w:val="false"/>
          <w:bCs w:val="false"/>
          <w:i w:val="false"/>
          <w:iCs w:val="false"/>
          <w:color w:val="000000"/>
          <w:sz w:val="32"/>
          <w:szCs w:val="32"/>
          <w:u w:val="none"/>
        </w:rPr>
        <w:t>第五十九条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违反本规定的其他行为，《中华人民共和国老年人权益保障法》以及其他有关法律、法规已有法律责任规定的，从其规定。</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70" w:before="437" w:after="437"/>
        <w:ind w:firstLineChars="0" w:firstLine="0" w:startChars="0" w:start="0" w:endChars="0" w:end="0"/>
        <w:jc w:val="center"/>
        <w:textAlignment w:val="auto"/>
        <w:rPr>
          <w:rFonts w:hint="eastAsia"/>
        </w:rPr>
      </w:pPr>
      <w:r>
        <w:rPr>
          <w:rFonts w:ascii="CESI黑体-GB2312;黑体" w:hAnsi="CESI黑体-GB2312;黑体" w:cs="CESI黑体-GB2312;黑体" w:hint="eastAsia" w:eastAsia="CESI黑体-GB2312;黑体"/>
          <w:bCs/>
          <w:i w:val="false"/>
          <w:iCs w:val="false"/>
          <w:color w:val="000000"/>
          <w:sz w:val="32"/>
          <w:szCs w:val="32"/>
          <w:u w:val="none"/>
        </w:rPr>
        <w:t>第八章  附则</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 xml:space="preserve">第六十条 </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本规定所称养老服务机构，是指养老机构、居家社区养老服务机构，以及经营范围和组织章程中包含养老服务内容的其他企业、事业单位和社会组织。</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CESI仿宋-GB2312;仿宋" w:hAnsi="CESI仿宋-GB2312;仿宋" w:eastAsia="CESI仿宋-GB2312;仿宋" w:cs="CESI仿宋-GB2312;仿宋" w:hint="eastAsia"/>
          <w:i w:val="false"/>
          <w:iCs w:val="false"/>
          <w:color w:val="000000"/>
          <w:sz w:val="32"/>
          <w:szCs w:val="32"/>
          <w:u w:val="none"/>
        </w:rPr>
      </w:pPr>
      <w:r>
        <w:rPr>
          <w:rFonts w:ascii="黑体" w:hAnsi="黑体" w:cs="黑体" w:hint="eastAsia" w:eastAsia="黑体"/>
          <w:b w:val="false"/>
          <w:bCs w:val="false"/>
          <w:i w:val="false"/>
          <w:iCs w:val="false"/>
          <w:color w:val="000000"/>
          <w:sz w:val="32"/>
          <w:szCs w:val="32"/>
          <w:u w:val="none"/>
        </w:rPr>
        <w:t>第六十一条</w:t>
      </w:r>
      <w:r>
        <w:rPr>
          <w:rFonts w:ascii="CESI仿宋-GB2312;仿宋" w:hAnsi="CESI仿宋-GB2312;仿宋" w:cs="CESI仿宋-GB2312;仿宋" w:hint="eastAsia" w:eastAsia="CESI仿宋-GB2312;仿宋"/>
          <w:b/>
          <w:bCs/>
          <w:i w:val="false"/>
          <w:iCs w:val="false"/>
          <w:color w:val="000000"/>
          <w:sz w:val="32"/>
          <w:szCs w:val="32"/>
          <w:u w:val="none"/>
        </w:rPr>
        <w:t xml:space="preserve">  </w:t>
      </w:r>
      <w:r>
        <w:rPr>
          <w:rFonts w:ascii="CESI仿宋-GB2312;仿宋" w:hAnsi="CESI仿宋-GB2312;仿宋" w:cs="CESI仿宋-GB2312;仿宋" w:hint="eastAsia" w:eastAsia="CESI仿宋-GB2312;仿宋"/>
          <w:i w:val="false"/>
          <w:iCs w:val="false"/>
          <w:color w:val="000000"/>
          <w:sz w:val="32"/>
          <w:szCs w:val="32"/>
          <w:u w:val="none"/>
        </w:rPr>
        <w:t>市人民政府根据本规定制定实施细则。</w:t>
      </w:r>
    </w:p>
    <w:p>
      <w:pPr>
        <w:pStyle w:val="Normal"/>
        <w:keepNext w:val="false"/>
        <w:keepLines w:val="false"/>
        <w:pageBreakBefore w:val="false"/>
        <w:widowControl w:val="false"/>
        <w:kinsoku w:val="true"/>
        <w:overflowPunct w:val="false"/>
        <w:autoSpaceDE w:val="true"/>
        <w:bidi w:val="0"/>
        <w:snapToGrid w:val="true"/>
        <w:spacing w:lineRule="exact" w:line="570" w:before="0" w:after="0"/>
        <w:ind w:firstLineChars="200" w:startChars="0" w:start="0" w:endChars="0" w:end="0"/>
        <w:jc w:val="both"/>
        <w:textAlignment w:val="auto"/>
        <w:rPr>
          <w:rFonts w:ascii="CESI仿宋-GB2312;仿宋" w:hAnsi="CESI仿宋-GB2312;仿宋" w:eastAsia="CESI仿宋-GB2312;仿宋" w:cs="CESI仿宋-GB2312;仿宋" w:hint="eastAsia"/>
          <w:color w:val="000000"/>
          <w:sz w:val="2"/>
          <w:szCs w:val="2"/>
          <w:u w:val="none"/>
        </w:rPr>
      </w:pPr>
      <w:r>
        <w:rPr>
          <w:rFonts w:ascii="黑体" w:hAnsi="黑体" w:cs="黑体" w:hint="eastAsia" w:eastAsia="黑体"/>
          <w:b w:val="false"/>
          <w:bCs w:val="false"/>
          <w:i w:val="false"/>
          <w:iCs w:val="false"/>
          <w:color w:val="000000"/>
          <w:sz w:val="32"/>
          <w:szCs w:val="32"/>
          <w:u w:val="none"/>
        </w:rPr>
        <w:t>第六十二条</w:t>
      </w:r>
      <w:r>
        <w:rPr>
          <w:rFonts w:ascii="CESI仿宋-GB2312;仿宋" w:hAnsi="CESI仿宋-GB2312;仿宋" w:cs="CESI仿宋-GB2312;仿宋" w:hint="eastAsia" w:eastAsia="CESI仿宋-GB2312;仿宋"/>
          <w:b/>
          <w:bCs/>
          <w:i w:val="false"/>
          <w:iCs w:val="false"/>
          <w:color w:val="000000"/>
          <w:spacing w:val="2"/>
          <w:sz w:val="32"/>
          <w:szCs w:val="32"/>
          <w:u w:val="none"/>
        </w:rPr>
        <w:t xml:space="preserve">  </w:t>
      </w:r>
      <w:r>
        <w:rPr>
          <w:rFonts w:ascii="CESI仿宋-GB2312;仿宋" w:hAnsi="CESI仿宋-GB2312;仿宋" w:cs="CESI仿宋-GB2312;仿宋" w:hint="eastAsia" w:eastAsia="CESI仿宋-GB2312;仿宋"/>
          <w:i w:val="false"/>
          <w:iCs w:val="false"/>
          <w:color w:val="000000"/>
          <w:spacing w:val="2"/>
          <w:sz w:val="32"/>
          <w:szCs w:val="32"/>
          <w:u w:val="none"/>
        </w:rPr>
        <w:t>本规定自</w:t>
      </w:r>
      <w:r>
        <w:rPr>
          <w:rFonts w:eastAsia="CESI仿宋-GB2312;仿宋" w:cs="CESI仿宋-GB2312;仿宋" w:hint="eastAsia" w:ascii="CESI仿宋-GB2312;仿宋" w:hAnsi="CESI仿宋-GB2312;仿宋"/>
          <w:i w:val="false"/>
          <w:iCs w:val="false"/>
          <w:color w:val="000000"/>
          <w:spacing w:val="2"/>
          <w:sz w:val="32"/>
          <w:szCs w:val="32"/>
          <w:u w:val="none"/>
        </w:rPr>
        <w:t>2021</w:t>
      </w:r>
      <w:r>
        <w:rPr>
          <w:rFonts w:ascii="CESI仿宋-GB2312;仿宋" w:hAnsi="CESI仿宋-GB2312;仿宋" w:cs="CESI仿宋-GB2312;仿宋" w:hint="eastAsia" w:eastAsia="CESI仿宋-GB2312;仿宋"/>
          <w:i w:val="false"/>
          <w:iCs w:val="false"/>
          <w:color w:val="000000"/>
          <w:spacing w:val="2"/>
          <w:sz w:val="32"/>
          <w:szCs w:val="32"/>
          <w:u w:val="none"/>
        </w:rPr>
        <w:t>年</w:t>
      </w:r>
      <w:r>
        <w:rPr>
          <w:rFonts w:eastAsia="CESI仿宋-GB2312;仿宋" w:cs="CESI仿宋-GB2312;仿宋" w:hint="eastAsia" w:ascii="CESI仿宋-GB2312;仿宋" w:hAnsi="CESI仿宋-GB2312;仿宋"/>
          <w:i w:val="false"/>
          <w:iCs w:val="false"/>
          <w:color w:val="000000"/>
          <w:spacing w:val="2"/>
          <w:sz w:val="32"/>
          <w:szCs w:val="32"/>
          <w:u w:val="none"/>
        </w:rPr>
        <w:t>7</w:t>
      </w:r>
      <w:r>
        <w:rPr>
          <w:rFonts w:ascii="CESI仿宋-GB2312;仿宋" w:hAnsi="CESI仿宋-GB2312;仿宋" w:cs="CESI仿宋-GB2312;仿宋" w:hint="eastAsia" w:eastAsia="CESI仿宋-GB2312;仿宋"/>
          <w:i w:val="false"/>
          <w:iCs w:val="false"/>
          <w:color w:val="000000"/>
          <w:spacing w:val="2"/>
          <w:sz w:val="32"/>
          <w:szCs w:val="32"/>
          <w:u w:val="none"/>
        </w:rPr>
        <w:t>月</w:t>
      </w:r>
      <w:r>
        <w:rPr>
          <w:rFonts w:eastAsia="CESI仿宋-GB2312;仿宋" w:cs="CESI仿宋-GB2312;仿宋" w:hint="eastAsia" w:ascii="CESI仿宋-GB2312;仿宋" w:hAnsi="CESI仿宋-GB2312;仿宋"/>
          <w:i w:val="false"/>
          <w:iCs w:val="false"/>
          <w:color w:val="000000"/>
          <w:spacing w:val="2"/>
          <w:sz w:val="32"/>
          <w:szCs w:val="32"/>
          <w:u w:val="none"/>
        </w:rPr>
        <w:t>1</w:t>
      </w:r>
      <w:r>
        <w:rPr>
          <w:rFonts w:ascii="CESI仿宋-GB2312;仿宋" w:hAnsi="CESI仿宋-GB2312;仿宋" w:cs="CESI仿宋-GB2312;仿宋" w:hint="eastAsia" w:eastAsia="CESI仿宋-GB2312;仿宋"/>
          <w:i w:val="false"/>
          <w:iCs w:val="false"/>
          <w:color w:val="000000"/>
          <w:spacing w:val="2"/>
          <w:sz w:val="32"/>
          <w:szCs w:val="32"/>
          <w:u w:val="none"/>
        </w:rPr>
        <w:t>日起施行。</w:t>
      </w:r>
      <w:r>
        <w:rPr>
          <w:rFonts w:eastAsia="CESI仿宋-GB2312;仿宋" w:cs="CESI仿宋-GB2312;仿宋" w:hint="eastAsia" w:ascii="CESI仿宋-GB2312;仿宋" w:hAnsi="CESI仿宋-GB2312;仿宋"/>
          <w:i w:val="false"/>
          <w:iCs w:val="false"/>
          <w:color w:val="000000"/>
          <w:spacing w:val="2"/>
          <w:sz w:val="32"/>
          <w:szCs w:val="32"/>
          <w:u w:val="none"/>
        </w:rPr>
        <w:t>1998</w:t>
      </w:r>
      <w:r>
        <w:rPr>
          <w:rFonts w:ascii="CESI仿宋-GB2312;仿宋" w:hAnsi="CESI仿宋-GB2312;仿宋" w:cs="CESI仿宋-GB2312;仿宋" w:hint="eastAsia" w:eastAsia="CESI仿宋-GB2312;仿宋"/>
          <w:i w:val="false"/>
          <w:iCs w:val="false"/>
          <w:color w:val="000000"/>
          <w:spacing w:val="2"/>
          <w:sz w:val="32"/>
          <w:szCs w:val="32"/>
          <w:u w:val="none"/>
        </w:rPr>
        <w:t>年</w:t>
      </w:r>
      <w:r>
        <w:rPr>
          <w:rFonts w:eastAsia="CESI仿宋-GB2312;仿宋" w:cs="CESI仿宋-GB2312;仿宋" w:hint="eastAsia" w:ascii="CESI仿宋-GB2312;仿宋" w:hAnsi="CESI仿宋-GB2312;仿宋"/>
          <w:i w:val="false"/>
          <w:iCs w:val="false"/>
          <w:color w:val="000000"/>
          <w:spacing w:val="2"/>
          <w:sz w:val="32"/>
          <w:szCs w:val="32"/>
          <w:u w:val="none"/>
        </w:rPr>
        <w:t>12</w:t>
      </w:r>
      <w:r>
        <w:rPr>
          <w:rFonts w:ascii="CESI仿宋-GB2312;仿宋" w:hAnsi="CESI仿宋-GB2312;仿宋" w:cs="CESI仿宋-GB2312;仿宋" w:hint="eastAsia" w:eastAsia="CESI仿宋-GB2312;仿宋"/>
          <w:i w:val="false"/>
          <w:iCs w:val="false"/>
          <w:color w:val="000000"/>
          <w:spacing w:val="2"/>
          <w:sz w:val="32"/>
          <w:szCs w:val="32"/>
          <w:u w:val="none"/>
        </w:rPr>
        <w:t>月</w:t>
      </w:r>
      <w:r>
        <w:rPr>
          <w:rFonts w:eastAsia="CESI仿宋-GB2312;仿宋" w:cs="CESI仿宋-GB2312;仿宋" w:hint="eastAsia" w:ascii="CESI仿宋-GB2312;仿宋" w:hAnsi="CESI仿宋-GB2312;仿宋"/>
          <w:i w:val="false"/>
          <w:iCs w:val="false"/>
          <w:color w:val="000000"/>
          <w:spacing w:val="2"/>
          <w:sz w:val="32"/>
          <w:szCs w:val="32"/>
          <w:u w:val="none"/>
        </w:rPr>
        <w:t>17</w:t>
      </w:r>
      <w:r>
        <w:rPr>
          <w:rFonts w:ascii="CESI仿宋-GB2312;仿宋" w:hAnsi="CESI仿宋-GB2312;仿宋" w:cs="CESI仿宋-GB2312;仿宋" w:hint="eastAsia" w:eastAsia="CESI仿宋-GB2312;仿宋"/>
          <w:i w:val="false"/>
          <w:iCs w:val="false"/>
          <w:color w:val="000000"/>
          <w:spacing w:val="2"/>
          <w:sz w:val="32"/>
          <w:szCs w:val="32"/>
          <w:u w:val="none"/>
        </w:rPr>
        <w:t>日厦门市第十一届人民代表大会常务委员会第九次会议通过，根据</w:t>
      </w:r>
      <w:r>
        <w:rPr>
          <w:rFonts w:eastAsia="CESI仿宋-GB2312;仿宋" w:cs="CESI仿宋-GB2312;仿宋" w:hint="eastAsia" w:ascii="CESI仿宋-GB2312;仿宋" w:hAnsi="CESI仿宋-GB2312;仿宋"/>
          <w:i w:val="false"/>
          <w:iCs w:val="false"/>
          <w:color w:val="000000"/>
          <w:spacing w:val="2"/>
          <w:sz w:val="32"/>
          <w:szCs w:val="32"/>
          <w:u w:val="none"/>
        </w:rPr>
        <w:t>2010</w:t>
      </w:r>
      <w:r>
        <w:rPr>
          <w:rFonts w:ascii="CESI仿宋-GB2312;仿宋" w:hAnsi="CESI仿宋-GB2312;仿宋" w:cs="CESI仿宋-GB2312;仿宋" w:hint="eastAsia" w:eastAsia="CESI仿宋-GB2312;仿宋"/>
          <w:i w:val="false"/>
          <w:iCs w:val="false"/>
          <w:color w:val="000000"/>
          <w:spacing w:val="2"/>
          <w:sz w:val="32"/>
          <w:szCs w:val="32"/>
          <w:u w:val="none"/>
        </w:rPr>
        <w:t>年</w:t>
      </w:r>
      <w:r>
        <w:rPr>
          <w:rFonts w:eastAsia="CESI仿宋-GB2312;仿宋" w:cs="CESI仿宋-GB2312;仿宋" w:hint="eastAsia" w:ascii="CESI仿宋-GB2312;仿宋" w:hAnsi="CESI仿宋-GB2312;仿宋"/>
          <w:i w:val="false"/>
          <w:iCs w:val="false"/>
          <w:color w:val="000000"/>
          <w:spacing w:val="2"/>
          <w:sz w:val="32"/>
          <w:szCs w:val="32"/>
          <w:u w:val="none"/>
        </w:rPr>
        <w:t>7</w:t>
      </w:r>
      <w:r>
        <w:rPr>
          <w:rFonts w:ascii="CESI仿宋-GB2312;仿宋" w:hAnsi="CESI仿宋-GB2312;仿宋" w:cs="CESI仿宋-GB2312;仿宋" w:hint="eastAsia" w:eastAsia="CESI仿宋-GB2312;仿宋"/>
          <w:i w:val="false"/>
          <w:iCs w:val="false"/>
          <w:color w:val="000000"/>
          <w:spacing w:val="2"/>
          <w:sz w:val="32"/>
          <w:szCs w:val="32"/>
          <w:u w:val="none"/>
        </w:rPr>
        <w:t>月</w:t>
      </w:r>
      <w:r>
        <w:rPr>
          <w:rFonts w:eastAsia="CESI仿宋-GB2312;仿宋" w:cs="CESI仿宋-GB2312;仿宋" w:hint="eastAsia" w:ascii="CESI仿宋-GB2312;仿宋" w:hAnsi="CESI仿宋-GB2312;仿宋"/>
          <w:i w:val="false"/>
          <w:iCs w:val="false"/>
          <w:color w:val="000000"/>
          <w:spacing w:val="2"/>
          <w:sz w:val="32"/>
          <w:szCs w:val="32"/>
          <w:u w:val="none"/>
        </w:rPr>
        <w:t>29</w:t>
      </w:r>
      <w:r>
        <w:rPr>
          <w:rFonts w:ascii="CESI仿宋-GB2312;仿宋" w:hAnsi="CESI仿宋-GB2312;仿宋" w:cs="CESI仿宋-GB2312;仿宋" w:hint="eastAsia" w:eastAsia="CESI仿宋-GB2312;仿宋"/>
          <w:i w:val="false"/>
          <w:iCs w:val="false"/>
          <w:color w:val="000000"/>
          <w:spacing w:val="2"/>
          <w:sz w:val="32"/>
          <w:szCs w:val="32"/>
          <w:u w:val="none"/>
        </w:rPr>
        <w:t>日厦门市第十三届人民代表大会常务委员会第二十三次会议通过的《厦门市人民代表大会常务委员会关于修改</w:t>
      </w:r>
      <w:r>
        <w:rPr>
          <w:rFonts w:eastAsia="CESI仿宋-GB2312;仿宋" w:cs="CESI仿宋-GB2312;仿宋" w:hint="eastAsia" w:ascii="CESI仿宋-GB2312;仿宋" w:hAnsi="CESI仿宋-GB2312;仿宋"/>
          <w:i w:val="false"/>
          <w:iCs w:val="false"/>
          <w:color w:val="000000"/>
          <w:spacing w:val="2"/>
          <w:sz w:val="32"/>
          <w:szCs w:val="32"/>
          <w:u w:val="none"/>
        </w:rPr>
        <w:t>&lt;</w:t>
      </w:r>
      <w:r>
        <w:rPr>
          <w:rFonts w:ascii="CESI仿宋-GB2312;仿宋" w:hAnsi="CESI仿宋-GB2312;仿宋" w:cs="CESI仿宋-GB2312;仿宋" w:hint="eastAsia" w:eastAsia="CESI仿宋-GB2312;仿宋"/>
          <w:i w:val="false"/>
          <w:iCs w:val="false"/>
          <w:color w:val="000000"/>
          <w:spacing w:val="2"/>
          <w:sz w:val="32"/>
          <w:szCs w:val="32"/>
          <w:u w:val="none"/>
        </w:rPr>
        <w:t>厦门市城市园林绿化条例</w:t>
      </w:r>
      <w:r>
        <w:rPr>
          <w:rFonts w:eastAsia="CESI仿宋-GB2312;仿宋" w:cs="CESI仿宋-GB2312;仿宋" w:hint="eastAsia" w:ascii="CESI仿宋-GB2312;仿宋" w:hAnsi="CESI仿宋-GB2312;仿宋"/>
          <w:i w:val="false"/>
          <w:iCs w:val="false"/>
          <w:color w:val="000000"/>
          <w:spacing w:val="2"/>
          <w:sz w:val="32"/>
          <w:szCs w:val="32"/>
          <w:u w:val="none"/>
        </w:rPr>
        <w:t>&gt;</w:t>
      </w:r>
      <w:r>
        <w:rPr>
          <w:rFonts w:ascii="CESI仿宋-GB2312;仿宋" w:hAnsi="CESI仿宋-GB2312;仿宋" w:cs="CESI仿宋-GB2312;仿宋" w:hint="eastAsia" w:eastAsia="CESI仿宋-GB2312;仿宋"/>
          <w:i w:val="false"/>
          <w:iCs w:val="false"/>
          <w:color w:val="000000"/>
          <w:spacing w:val="2"/>
          <w:sz w:val="32"/>
          <w:szCs w:val="32"/>
          <w:u w:val="none"/>
        </w:rPr>
        <w:t>等二十部经济特区法规名称的决定》修正的《厦门经济特区实施</w:t>
      </w:r>
      <w:r>
        <w:rPr>
          <w:rFonts w:eastAsia="CESI仿宋-GB2312;仿宋" w:cs="CESI仿宋-GB2312;仿宋" w:hint="eastAsia" w:ascii="CESI仿宋-GB2312;仿宋" w:hAnsi="CESI仿宋-GB2312;仿宋"/>
          <w:i w:val="false"/>
          <w:iCs w:val="false"/>
          <w:color w:val="000000"/>
          <w:spacing w:val="2"/>
          <w:sz w:val="32"/>
          <w:szCs w:val="32"/>
          <w:u w:val="none"/>
        </w:rPr>
        <w:t>&lt;</w:t>
      </w:r>
      <w:r>
        <w:rPr>
          <w:rFonts w:ascii="CESI仿宋-GB2312;仿宋" w:hAnsi="CESI仿宋-GB2312;仿宋" w:cs="CESI仿宋-GB2312;仿宋" w:hint="eastAsia" w:eastAsia="CESI仿宋-GB2312;仿宋"/>
          <w:i w:val="false"/>
          <w:iCs w:val="false"/>
          <w:color w:val="000000"/>
          <w:spacing w:val="2"/>
          <w:sz w:val="32"/>
          <w:szCs w:val="32"/>
          <w:u w:val="none"/>
        </w:rPr>
        <w:t>中华人民共和国老年人权益保障法</w:t>
      </w:r>
      <w:r>
        <w:rPr>
          <w:rFonts w:eastAsia="CESI仿宋-GB2312;仿宋" w:cs="CESI仿宋-GB2312;仿宋" w:hint="eastAsia" w:ascii="CESI仿宋-GB2312;仿宋" w:hAnsi="CESI仿宋-GB2312;仿宋"/>
          <w:i w:val="false"/>
          <w:iCs w:val="false"/>
          <w:color w:val="000000"/>
          <w:spacing w:val="2"/>
          <w:sz w:val="32"/>
          <w:szCs w:val="32"/>
          <w:u w:val="none"/>
        </w:rPr>
        <w:t>&gt;</w:t>
      </w:r>
      <w:r>
        <w:rPr>
          <w:rFonts w:ascii="CESI仿宋-GB2312;仿宋" w:hAnsi="CESI仿宋-GB2312;仿宋" w:cs="CESI仿宋-GB2312;仿宋" w:hint="eastAsia" w:eastAsia="CESI仿宋-GB2312;仿宋"/>
          <w:i w:val="false"/>
          <w:iCs w:val="false"/>
          <w:color w:val="000000"/>
          <w:spacing w:val="2"/>
          <w:sz w:val="32"/>
          <w:szCs w:val="32"/>
          <w:u w:val="none"/>
        </w:rPr>
        <w:t>若干规定》同时废止。</w:t>
      </w:r>
    </w:p>
    <w:p>
      <w:pPr>
        <w:pStyle w:val="2"/>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ascii="方正仿宋_GBK;Arial Unicode MS" w:hAnsi="方正仿宋_GBK;Arial Unicode MS" w:eastAsia="方正仿宋_GBK;Arial Unicode MS" w:cs="方正仿宋_GBK;Arial Unicode MS" w:hint="eastAsia"/>
          <w:color w:val="000000"/>
          <w:sz w:val="32"/>
          <w:szCs w:val="32"/>
          <w:u w:val="none"/>
        </w:rPr>
      </w:pPr>
      <w:r>
        <w:rPr>
          <w:rFonts w:eastAsia="方正仿宋_GBK;Arial Unicode MS" w:cs="方正仿宋_GBK;Arial Unicode MS" w:hint="eastAsia" w:ascii="方正仿宋_GBK;Arial Unicode MS" w:hAnsi="方正仿宋_GBK;Arial Unicode MS"/>
          <w:color w:val="000000"/>
          <w:sz w:val="32"/>
          <w:szCs w:val="32"/>
          <w:u w:val="none"/>
        </w:rPr>
      </w:r>
    </w:p>
    <w:p>
      <w:pPr>
        <w:pStyle w:val="2"/>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ascii="方正仿宋_GBK;Arial Unicode MS" w:hAnsi="方正仿宋_GBK;Arial Unicode MS" w:eastAsia="方正仿宋_GBK;Arial Unicode MS" w:cs="方正仿宋_GBK;Arial Unicode MS" w:hint="eastAsia"/>
          <w:color w:val="000000"/>
          <w:sz w:val="32"/>
          <w:szCs w:val="32"/>
          <w:u w:val="none"/>
        </w:rPr>
      </w:pPr>
      <w:r>
        <w:rPr>
          <w:rFonts w:eastAsia="方正仿宋_GBK;Arial Unicode MS" w:cs="方正仿宋_GBK;Arial Unicode MS" w:hint="eastAsia" w:ascii="方正仿宋_GBK;Arial Unicode MS" w:hAnsi="方正仿宋_GBK;Arial Unicode MS"/>
          <w:color w:val="000000"/>
          <w:sz w:val="32"/>
          <w:szCs w:val="32"/>
          <w:u w:val="none"/>
        </w:rPr>
      </w:r>
    </w:p>
    <w:p>
      <w:pPr>
        <w:pStyle w:val="2"/>
        <w:keepNext w:val="false"/>
        <w:keepLines w:val="false"/>
        <w:pageBreakBefore w:val="false"/>
        <w:kinsoku w:val="true"/>
        <w:overflowPunct w:val="true"/>
        <w:autoSpaceDE w:val="true"/>
        <w:bidi w:val="0"/>
        <w:spacing w:lineRule="exact" w:line="570"/>
        <w:textAlignment w:val="auto"/>
        <w:rPr>
          <w:rFonts w:ascii="CESI仿宋-GB2312;仿宋" w:hAnsi="CESI仿宋-GB2312;仿宋" w:eastAsia="CESI仿宋-GB2312;仿宋" w:cs="CESI仿宋-GB2312;仿宋" w:hint="eastAsia"/>
          <w:color w:val="000000"/>
          <w:sz w:val="32"/>
          <w:szCs w:val="32"/>
          <w:u w:val="none"/>
        </w:rPr>
      </w:pPr>
      <w:r>
        <w:rPr>
          <w:rFonts w:eastAsia="CESI仿宋-GB2312;仿宋" w:cs="CESI仿宋-GB2312;仿宋" w:hint="eastAsia" w:ascii="CESI仿宋-GB2312;仿宋" w:hAnsi="CESI仿宋-GB2312;仿宋"/>
          <w:color w:val="000000"/>
          <w:sz w:val="32"/>
          <w:szCs w:val="32"/>
          <w:u w:val="none"/>
        </w:rPr>
      </w:r>
    </w:p>
    <w:p>
      <w:pPr>
        <w:pStyle w:val="Normal"/>
        <w:spacing w:lineRule="exact" w:line="20"/>
        <w:ind w:firstLineChars="200" w:startChars="0" w:start="0" w:endChars="0" w:end="0"/>
        <w:rPr>
          <w:rFonts w:ascii="仿宋_GB2312;仿宋" w:hAnsi="仿宋_GB2312;仿宋" w:eastAsia="仿宋_GB2312;仿宋" w:cs="CESI仿宋-GB2312;仿宋" w:hint="eastAsia"/>
          <w:color w:val="000000"/>
          <w:sz w:val="32"/>
          <w:szCs w:val="32"/>
          <w:u w:val="none"/>
        </w:rPr>
      </w:pPr>
      <w:r>
        <w:rPr>
          <w:rFonts w:eastAsia="仿宋_GB2312;仿宋" w:cs="CESI仿宋-GB2312;仿宋" w:hint="eastAsia" w:ascii="仿宋_GB2312;仿宋" w:hAnsi="仿宋_GB2312;仿宋"/>
          <w:color w:val="000000"/>
          <w:sz w:val="32"/>
          <w:szCs w:val="32"/>
          <w:u w:val="none"/>
        </w:rPr>
      </w:r>
    </w:p>
    <w:sectPr>
      <w:footerReference w:type="default" r:id="rId2"/>
      <w:type w:val="nextPage"/>
      <w:pgSz w:w="11906" w:h="16838"/>
      <w:pgMar w:left="1531" w:right="1531" w:gutter="0" w:header="0" w:top="2098" w:footer="1588"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方正大标宋简体">
    <w:altName w:val="Arial Unicode MS"/>
    <w:charset w:val="86"/>
    <w:family w:val="script"/>
    <w:pitch w:val="default"/>
  </w:font>
  <w:font w:name="宋体">
    <w:charset w:val="86"/>
    <w:family w:val="auto"/>
    <w:pitch w:val="default"/>
  </w:font>
  <w:font w:name="CESI楷体-GB2312">
    <w:altName w:val="宋体"/>
    <w:charset w:val="86"/>
    <w:family w:val="auto"/>
    <w:pitch w:val="default"/>
  </w:font>
  <w:font w:name="仿宋_GB2312">
    <w:altName w:val="仿宋"/>
    <w:charset w:val="86"/>
    <w:family w:val="modern"/>
    <w:pitch w:val="default"/>
  </w:font>
  <w:font w:name="楷体">
    <w:charset w:val="86"/>
    <w:family w:val="modern"/>
    <w:pitch w:val="default"/>
  </w:font>
  <w:font w:name="黑体">
    <w:charset w:val="86"/>
    <w:family w:val="auto"/>
    <w:pitch w:val="default"/>
  </w:font>
  <w:font w:name="方正仿宋_GBK">
    <w:altName w:val="Arial Unicode MS"/>
    <w:charset w:val="86"/>
    <w:family w:val="auto"/>
    <w:pitch w:val="default"/>
  </w:font>
  <w:font w:name="CESI仿宋-GB2312">
    <w:altName w:val="仿宋"/>
    <w:charset w:val="86"/>
    <w:family w:val="auto"/>
    <w:pitch w:val="default"/>
  </w:font>
  <w:font w:name="CESI黑体-GB2312">
    <w:altName w:val="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sz w:val="28"/>
      </w:rPr>
    </w:pPr>
    <w:r>
      <w:rPr>
        <w:sz w:val="28"/>
      </w:rPr>
      <w:tab/>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ascii="宋体" w:hAnsi="宋体" w:hint="eastAsia"/>
                              <w:sz w:val="28"/>
                              <w:szCs w:val="28"/>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392.45pt;mso-position-horizontal:outside;mso-position-horizontal-relative:margin">
              <v:fill opacity="0f"/>
              <v:textbox inset="0in,0in,0in,0in">
                <w:txbxContent>
                  <w:p>
                    <w:pPr>
                      <w:pStyle w:val="Footer"/>
                      <w:jc w:val="center"/>
                      <w:rPr>
                        <w:rStyle w:val="PageNumber"/>
                        <w:rFonts w:ascii="宋体" w:hAnsi="宋体" w:hint="eastAsia"/>
                        <w:sz w:val="28"/>
                        <w:szCs w:val="28"/>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Calibri"/>
      <w:color w:val="auto"/>
      <w:kern w:val="2"/>
      <w:sz w:val="32"/>
      <w:szCs w:val="32"/>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Arial" w:hAnsi="Arial" w:eastAsia="黑体" w:cs="Arial"/>
      <w:b/>
      <w:sz w:val="20"/>
    </w:rPr>
  </w:style>
  <w:style w:type="paragraph" w:styleId="Heading3">
    <w:name w:val="heading 3"/>
    <w:basedOn w:val="Normal"/>
    <w:next w:val="Normal"/>
    <w:qFormat/>
    <w:pPr>
      <w:keepNext w:val="true"/>
      <w:keepLines/>
      <w:widowControl w:val="false"/>
      <w:numPr>
        <w:ilvl w:val="2"/>
        <w:numId w:val="1"/>
      </w:numPr>
      <w:spacing w:lineRule="auto" w:line="413" w:before="260" w:after="260"/>
      <w:outlineLvl w:val="2"/>
    </w:pPr>
    <w:rPr>
      <w:b/>
      <w:sz w:val="20"/>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basedOn w:val="Normal"/>
    <w:qFormat/>
    <w:pPr>
      <w:spacing w:lineRule="exact" w:line="600"/>
      <w:ind w:firstLineChars="200" w:startChars="0" w:start="0" w:endChars="-47"/>
      <w:jc w:val="start"/>
    </w:pPr>
    <w:rPr>
      <w:bCs/>
      <w:szCs w:val="28"/>
    </w:rPr>
  </w:style>
  <w:style w:type="paragraph" w:styleId="Style12">
    <w:name w:val="正文缩进"/>
    <w:next w:val="Style13"/>
    <w:qFormat/>
    <w:pPr>
      <w:keepNext w:val="false"/>
      <w:keepLines w:val="false"/>
      <w:pageBreakBefore w:val="false"/>
      <w:widowControl w:val="false"/>
      <w:pBdr/>
      <w:suppressAutoHyphens w:val="false"/>
      <w:kinsoku w:val="true"/>
      <w:overflowPunct w:val="true"/>
      <w:autoSpaceDE w:val="true"/>
      <w:bidi w:val="0"/>
      <w:snapToGrid w:val="true"/>
      <w:spacing w:lineRule="auto" w:line="240" w:before="0" w:after="0"/>
      <w:ind w:firstLine="420" w:start="0" w:end="0"/>
      <w:jc w:val="both"/>
      <w:textAlignment w:val="auto"/>
    </w:pPr>
    <w:rPr>
      <w:rFonts w:ascii="Calibri" w:hAnsi="Calibri" w:eastAsia="宋体" w:cs="Times New Roman"/>
      <w:color w:val="000000"/>
      <w:spacing w:val="0"/>
      <w:w w:val="100"/>
      <w:kern w:val="2"/>
      <w:position w:val="0"/>
      <w:sz w:val="21"/>
      <w:szCs w:val="21"/>
      <w:u w:val="none"/>
      <w:shd w:fill="auto" w:val="clear"/>
      <w:vertAlign w:val="baseline"/>
      <w:lang w:bidi="ar-SA" w:val="en-US" w:eastAsia="zh-CN"/>
    </w:rPr>
  </w:style>
  <w:style w:type="paragraph" w:styleId="Style13">
    <w:name w:val="日期"/>
    <w:basedOn w:val="Normal"/>
    <w:next w:val="Normal"/>
    <w:qFormat/>
    <w:pPr>
      <w:ind w:firstLineChars="0" w:firstLine="0" w:startChars="2500" w:endChars="0" w:end="0"/>
    </w:pPr>
    <w:rPr/>
  </w:style>
  <w:style w:type="paragraph" w:styleId="5">
    <w:name w:val="索引 5"/>
    <w:basedOn w:val="Normal"/>
    <w:next w:val="Normal"/>
    <w:qFormat/>
    <w:pPr>
      <w:ind w:hanging="0" w:start="168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7"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7" w:leader="none"/>
      </w:tabs>
      <w:snapToGrid w:val="false"/>
      <w:jc w:val="center"/>
    </w:pPr>
    <w:rPr>
      <w:sz w:val="18"/>
    </w:rPr>
  </w:style>
  <w:style w:type="paragraph" w:styleId="Style14">
    <w:name w:val="普通(网站)"/>
    <w:next w:val="Style13"/>
    <w:qFormat/>
    <w:pPr>
      <w:widowControl w:val="false"/>
      <w:bidi w:val="0"/>
      <w:spacing w:before="100" w:after="100"/>
      <w:jc w:val="start"/>
    </w:pPr>
    <w:rPr>
      <w:rFonts w:ascii="Calibri" w:hAnsi="Calibri" w:eastAsia="宋体" w:cs="Times New Roman"/>
      <w:color w:val="auto"/>
      <w:kern w:val="0"/>
      <w:sz w:val="24"/>
      <w:szCs w:val="32"/>
      <w:lang w:bidi="ar-SA" w:val="en-US" w:eastAsia="zh-CN"/>
    </w:rPr>
  </w:style>
  <w:style w:type="paragraph" w:styleId="ListParagraph1">
    <w:name w:val="List Paragraph1"/>
    <w:next w:val="Footer"/>
    <w:qFormat/>
    <w:pPr>
      <w:widowControl w:val="false"/>
      <w:bidi w:val="0"/>
      <w:ind w:firstLineChars="200" w:startChars="0" w:start="0" w:endChars="0" w:end="0"/>
      <w:jc w:val="both"/>
    </w:pPr>
    <w:rPr>
      <w:rFonts w:ascii="Times New Roman" w:hAnsi="Times New Roman" w:eastAsia="仿宋_GB2312;仿宋" w:cs="Times New Roman"/>
      <w:color w:val="auto"/>
      <w:sz w:val="32"/>
      <w:szCs w:val="32"/>
      <w:lang w:bidi="ar-SA" w:val="en-US" w:eastAsia="zh-CN"/>
    </w:rPr>
  </w:style>
  <w:style w:type="paragraph" w:styleId="ListParagraph">
    <w:name w:val="List Paragraph"/>
    <w:next w:val="ListParagraph1"/>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 w:type="paragraph" w:styleId="1">
    <w:name w:val="列出段落1"/>
    <w:basedOn w:val="Normal"/>
    <w:qFormat/>
    <w:pPr>
      <w:ind w:firstLineChars="200" w:startChars="0" w:start="0" w:endChars="0" w:end="0"/>
    </w:pPr>
    <w:rPr>
      <w:rFonts w:ascii="Calibri" w:hAnsi="Calibri" w:cs="Calibri"/>
    </w:rPr>
  </w:style>
  <w:style w:type="paragraph" w:styleId="Style15">
    <w:name w:val="列出段落"/>
    <w:basedOn w:val="Normal"/>
    <w:qFormat/>
    <w:pPr>
      <w:ind w:firstLineChars="200" w:startChars="0" w:start="0" w:endChars="0" w:end="0"/>
    </w:pPr>
    <w:rPr>
      <w:rFonts w:eastAsia="宋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2020-01-07T08:38:00Z</dcterms:created>
  <dc:creator>微软用户</dc:creator>
  <dc:description/>
  <dc:language>en-US</dc:language>
  <cp:lastModifiedBy>dell</cp:lastModifiedBy>
  <cp:lastPrinted>2021-07-04T17:37:00Z</cp:lastPrinted>
  <dcterms:modified xsi:type="dcterms:W3CDTF">2021-07-23T09:48:29Z</dcterms:modified>
  <cp:revision>13</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C5B6F03EDB2047F4A9298A7A21E5119E</vt:lpwstr>
  </property>
  <property fmtid="{D5CDD505-2E9C-101B-9397-08002B2CF9AE}" pid="3" name="KSOProductBuildVer">
    <vt:lpwstr>2052-11.1.0.10578</vt:lpwstr>
  </property>
</Properties>
</file>