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宋体" w:hAnsi="宋体" w:cs="宋体" w:hint="eastAsia"/>
          <w:sz w:val="44"/>
          <w:szCs w:val="44"/>
        </w:rPr>
      </w:pPr>
      <w:r>
        <w:rPr>
          <w:rFonts w:cs="宋体" w:hint="eastAsia" w:ascii="宋体" w:hAnsi="宋体"/>
          <w:sz w:val="44"/>
          <w:szCs w:val="44"/>
        </w:rPr>
      </w:r>
    </w:p>
    <w:p>
      <w:pPr>
        <w:pStyle w:val="Normal"/>
        <w:snapToGrid w:val="false"/>
        <w:spacing w:lineRule="exact" w:line="560"/>
        <w:jc w:val="center"/>
        <w:rPr>
          <w:rFonts w:ascii="宋体" w:hAnsi="宋体" w:cs="宋体" w:hint="eastAsia"/>
          <w:sz w:val="44"/>
          <w:szCs w:val="44"/>
        </w:rPr>
      </w:pPr>
      <w:r>
        <w:rPr>
          <w:rFonts w:cs="宋体" w:hint="eastAsia" w:ascii="宋体" w:hAnsi="宋体"/>
          <w:sz w:val="44"/>
          <w:szCs w:val="44"/>
        </w:rPr>
      </w:r>
    </w:p>
    <w:p>
      <w:pPr>
        <w:pStyle w:val="Normal"/>
        <w:snapToGrid w:val="false"/>
        <w:spacing w:lineRule="exact" w:line="560"/>
        <w:jc w:val="center"/>
        <w:rPr>
          <w:rFonts w:ascii="宋体" w:hAnsi="宋体" w:cs="宋体" w:hint="eastAsia"/>
          <w:bCs/>
          <w:sz w:val="44"/>
          <w:szCs w:val="44"/>
        </w:rPr>
      </w:pPr>
      <w:r>
        <w:rPr>
          <w:rFonts w:ascii="宋体" w:hAnsi="宋体" w:cs="宋体" w:hint="eastAsia"/>
          <w:bCs/>
          <w:sz w:val="44"/>
          <w:szCs w:val="44"/>
        </w:rPr>
        <w:t>厦门经济特区多元化纠纷解决机制促进条例</w:t>
      </w:r>
    </w:p>
    <w:p>
      <w:pPr>
        <w:pStyle w:val="Normal"/>
        <w:snapToGrid w:val="false"/>
        <w:spacing w:lineRule="exact" w:line="560"/>
        <w:jc w:val="center"/>
        <w:rPr>
          <w:rFonts w:ascii="宋体" w:hAnsi="宋体" w:cs="宋体" w:hint="eastAsia"/>
          <w:bCs/>
          <w:sz w:val="44"/>
          <w:szCs w:val="44"/>
        </w:rPr>
      </w:pPr>
      <w:r>
        <w:rPr>
          <w:rFonts w:cs="宋体" w:hint="eastAsia" w:ascii="宋体" w:hAnsi="宋体"/>
          <w:bCs/>
          <w:sz w:val="44"/>
          <w:szCs w:val="44"/>
        </w:rPr>
      </w:r>
    </w:p>
    <w:p>
      <w:pPr>
        <w:pStyle w:val="Normal"/>
        <w:snapToGrid w:val="false"/>
        <w:spacing w:lineRule="exact" w:line="560"/>
        <w:ind w:firstLineChars="0" w:firstLine="0" w:startChars="200" w:endChars="200"/>
        <w:jc w:val="start"/>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w:t>
      </w:r>
      <w:r>
        <w:rPr>
          <w:rFonts w:eastAsia="楷体_GB2312;楷体" w:cs="宋体" w:hint="eastAsia" w:ascii="楷体_GB2312;楷体" w:hAnsi="楷体_GB2312;楷体"/>
          <w:kern w:val="0"/>
          <w:sz w:val="32"/>
          <w:szCs w:val="32"/>
        </w:rPr>
        <w:t>2015</w:t>
      </w:r>
      <w:r>
        <w:rPr>
          <w:rFonts w:ascii="楷体_GB2312;楷体" w:hAnsi="楷体_GB2312;楷体" w:cs="宋体" w:hint="eastAsia" w:eastAsia="楷体_GB2312;楷体"/>
          <w:kern w:val="0"/>
          <w:sz w:val="32"/>
          <w:szCs w:val="32"/>
        </w:rPr>
        <w:t>年</w:t>
      </w:r>
      <w:r>
        <w:rPr>
          <w:rFonts w:eastAsia="楷体_GB2312;楷体" w:cs="宋体" w:hint="eastAsia" w:ascii="楷体_GB2312;楷体" w:hAnsi="楷体_GB2312;楷体"/>
          <w:kern w:val="0"/>
          <w:sz w:val="32"/>
          <w:szCs w:val="32"/>
        </w:rPr>
        <w:t>4</w:t>
      </w:r>
      <w:r>
        <w:rPr>
          <w:rFonts w:ascii="楷体_GB2312;楷体" w:hAnsi="楷体_GB2312;楷体" w:cs="宋体" w:hint="eastAsia" w:eastAsia="楷体_GB2312;楷体"/>
          <w:kern w:val="0"/>
          <w:sz w:val="32"/>
          <w:szCs w:val="32"/>
        </w:rPr>
        <w:t>月</w:t>
      </w:r>
      <w:r>
        <w:rPr>
          <w:rFonts w:eastAsia="楷体_GB2312;楷体" w:cs="宋体" w:hint="eastAsia" w:ascii="楷体_GB2312;楷体" w:hAnsi="楷体_GB2312;楷体"/>
          <w:kern w:val="0"/>
          <w:sz w:val="32"/>
          <w:szCs w:val="32"/>
        </w:rPr>
        <w:t>1</w:t>
      </w:r>
      <w:r>
        <w:rPr>
          <w:rFonts w:ascii="楷体_GB2312;楷体" w:hAnsi="楷体_GB2312;楷体" w:cs="宋体" w:hint="eastAsia" w:eastAsia="楷体_GB2312;楷体"/>
          <w:kern w:val="0"/>
          <w:sz w:val="32"/>
          <w:szCs w:val="32"/>
        </w:rPr>
        <w:t>日厦门市第十四届人民代表大会常务委员会第二十五次会议通过</w:t>
      </w:r>
      <w:r>
        <w:rPr>
          <w:rFonts w:ascii="楷体_GB2312;楷体" w:hAnsi="楷体_GB2312;楷体" w:cs="宋体" w:hint="eastAsia" w:eastAsia="楷体_GB2312;楷体"/>
          <w:sz w:val="32"/>
          <w:szCs w:val="32"/>
        </w:rPr>
        <w:t>）</w:t>
      </w:r>
    </w:p>
    <w:p>
      <w:pPr>
        <w:pStyle w:val="Normal"/>
        <w:snapToGrid w:val="false"/>
        <w:spacing w:lineRule="exact" w:line="560"/>
        <w:ind w:firstLineChars="150" w:startChars="0" w:start="0" w:endChars="0" w:end="0"/>
        <w:jc w:val="center"/>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content"/>
        <w:snapToGrid w:val="false"/>
        <w:spacing w:lineRule="exact" w:line="560"/>
        <w:ind w:firstLineChars="200" w:startChars="0" w:start="0" w:endChars="0" w:end="0"/>
        <w:jc w:val="center"/>
        <w:rPr>
          <w:rFonts w:ascii="楷体_GB2312;楷体" w:hAnsi="楷体_GB2312;楷体" w:eastAsia="楷体_GB2312;楷体" w:hint="eastAsia"/>
        </w:rPr>
      </w:pPr>
      <w:r>
        <w:rPr>
          <w:rFonts w:ascii="楷体_GB2312;楷体" w:hAnsi="楷体_GB2312;楷体" w:hint="eastAsia" w:eastAsia="楷体_GB2312;楷体"/>
        </w:rPr>
        <w:t>目  录</w:t>
      </w:r>
    </w:p>
    <w:p>
      <w:pPr>
        <w:pStyle w:val="content"/>
        <w:snapToGrid w:val="false"/>
        <w:spacing w:lineRule="exact" w:line="560"/>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第一章　总则</w:t>
      </w:r>
    </w:p>
    <w:p>
      <w:pPr>
        <w:pStyle w:val="content"/>
        <w:snapToGrid w:val="false"/>
        <w:spacing w:lineRule="exact" w:line="560"/>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第二章　纠纷解决途径</w:t>
      </w:r>
    </w:p>
    <w:p>
      <w:pPr>
        <w:pStyle w:val="content"/>
        <w:snapToGrid w:val="false"/>
        <w:spacing w:lineRule="exact" w:line="560"/>
        <w:ind w:firstLineChars="4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第一节　一般规定</w:t>
      </w:r>
    </w:p>
    <w:p>
      <w:pPr>
        <w:pStyle w:val="content"/>
        <w:snapToGrid w:val="false"/>
        <w:spacing w:lineRule="exact" w:line="560"/>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　　第二节　和解与调解</w:t>
      </w:r>
    </w:p>
    <w:p>
      <w:pPr>
        <w:pStyle w:val="content"/>
        <w:snapToGrid w:val="false"/>
        <w:spacing w:lineRule="exact" w:line="560"/>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　　第三节　行政调解与行政裁决</w:t>
      </w:r>
    </w:p>
    <w:p>
      <w:pPr>
        <w:pStyle w:val="content"/>
        <w:snapToGrid w:val="false"/>
        <w:spacing w:lineRule="exact" w:line="560"/>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第三章　纠纷解决程序衔接</w:t>
      </w:r>
    </w:p>
    <w:p>
      <w:pPr>
        <w:pStyle w:val="contentc"/>
        <w:snapToGrid w:val="false"/>
        <w:spacing w:lineRule="exact" w:line="560"/>
        <w:ind w:firstLineChars="200" w:startChars="0" w:start="0" w:endChars="0" w:end="0"/>
        <w:jc w:val="both"/>
        <w:rPr>
          <w:rFonts w:ascii="楷体_GB2312;楷体" w:hAnsi="楷体_GB2312;楷体" w:eastAsia="楷体_GB2312;楷体" w:hint="eastAsia"/>
          <w:b/>
        </w:rPr>
      </w:pPr>
      <w:r>
        <w:rPr>
          <w:rFonts w:ascii="楷体_GB2312;楷体" w:hAnsi="楷体_GB2312;楷体" w:hint="eastAsia" w:eastAsia="楷体_GB2312;楷体"/>
        </w:rPr>
        <w:t>第四章　纠纷解决组织建设</w:t>
      </w:r>
    </w:p>
    <w:p>
      <w:pPr>
        <w:pStyle w:val="content"/>
        <w:snapToGrid w:val="false"/>
        <w:spacing w:lineRule="exact" w:line="560"/>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第五章　纠纷解决保障措施</w:t>
      </w:r>
    </w:p>
    <w:p>
      <w:pPr>
        <w:pStyle w:val="content"/>
        <w:snapToGrid w:val="false"/>
        <w:spacing w:lineRule="exact" w:line="560"/>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第六章　考核监督</w:t>
      </w:r>
    </w:p>
    <w:p>
      <w:pPr>
        <w:pStyle w:val="content"/>
        <w:snapToGrid w:val="false"/>
        <w:spacing w:lineRule="exact" w:line="560"/>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第七章  附则</w:t>
      </w:r>
    </w:p>
    <w:p>
      <w:pPr>
        <w:pStyle w:val="content"/>
        <w:snapToGrid w:val="false"/>
        <w:spacing w:lineRule="exact" w:line="560"/>
        <w:jc w:val="center"/>
        <w:rPr>
          <w:rFonts w:ascii="楷体_GB2312;楷体" w:hAnsi="楷体_GB2312;楷体" w:eastAsia="楷体_GB2312;楷体" w:hint="eastAsia"/>
        </w:rPr>
      </w:pPr>
      <w:r>
        <w:rPr>
          <w:rFonts w:eastAsia="楷体_GB2312;楷体" w:hint="eastAsia" w:ascii="楷体_GB2312;楷体" w:hAnsi="楷体_GB2312;楷体"/>
        </w:rPr>
      </w:r>
    </w:p>
    <w:p>
      <w:pPr>
        <w:pStyle w:val="contentc"/>
        <w:numPr>
          <w:ilvl w:val="0"/>
          <w:numId w:val="1"/>
        </w:numPr>
        <w:snapToGrid w:val="false"/>
        <w:spacing w:lineRule="exact" w:line="560"/>
        <w:rPr>
          <w:rFonts w:ascii="黑体" w:hAnsi="黑体" w:eastAsia="黑体" w:hint="eastAsia"/>
        </w:rPr>
      </w:pPr>
      <w:r>
        <w:rPr>
          <w:rFonts w:ascii="黑体" w:hAnsi="黑体" w:hint="eastAsia" w:eastAsia="黑体"/>
        </w:rPr>
        <w:t>总则</w:t>
      </w:r>
    </w:p>
    <w:p>
      <w:pPr>
        <w:pStyle w:val="contentc"/>
        <w:snapToGrid w:val="false"/>
        <w:spacing w:lineRule="exact" w:line="560"/>
        <w:ind w:start="900" w:end="0"/>
        <w:rPr>
          <w:rFonts w:ascii="黑体" w:hAnsi="黑体" w:eastAsia="黑体" w:hint="eastAsia"/>
        </w:rPr>
      </w:pPr>
      <w:r>
        <w:rPr>
          <w:rFonts w:eastAsia="黑体" w:hint="eastAsia" w:ascii="黑体" w:hAnsi="黑体"/>
        </w:rPr>
      </w:r>
    </w:p>
    <w:p>
      <w:pPr>
        <w:pStyle w:val="content"/>
        <w:snapToGrid w:val="false"/>
        <w:spacing w:lineRule="exact" w:line="560"/>
        <w:ind w:firstLine="660" w:end="0"/>
        <w:rPr>
          <w:rFonts w:hint="eastAsia"/>
        </w:rPr>
      </w:pPr>
      <w:r>
        <w:rPr>
          <w:rFonts w:ascii="黑体" w:hAnsi="黑体" w:hint="eastAsia" w:eastAsia="黑体"/>
        </w:rPr>
        <w:t>第一条</w:t>
      </w:r>
      <w:r>
        <w:rPr>
          <w:rFonts w:hint="eastAsia"/>
        </w:rPr>
        <w:t>　为了</w:t>
      </w:r>
      <w:r>
        <w:rPr>
          <w:rFonts w:hint="eastAsia"/>
          <w:color w:val="000000"/>
        </w:rPr>
        <w:t>完善调解、仲裁、行政裁决、行政复议、诉讼等有机衔接、相互协调的多元化纠纷解决机制，</w:t>
      </w:r>
      <w:r>
        <w:rPr>
          <w:rFonts w:hint="eastAsia"/>
        </w:rPr>
        <w:t>及时、便捷、有效地解决纠纷，维护社会和谐，促进公平正义，遵循有关法律、行政法规的基本原则，结合厦门经济特区实际，制定本条例。</w:t>
      </w:r>
    </w:p>
    <w:p>
      <w:pPr>
        <w:pStyle w:val="content"/>
        <w:tabs>
          <w:tab w:val="clear" w:pos="420"/>
          <w:tab w:val="left" w:pos="1800" w:leader="none"/>
        </w:tabs>
        <w:snapToGrid w:val="false"/>
        <w:spacing w:lineRule="exact" w:line="560"/>
        <w:ind w:firstLineChars="200" w:startChars="0" w:start="0" w:endChars="0" w:end="0"/>
        <w:rPr>
          <w:rFonts w:hint="eastAsia"/>
          <w:color w:val="000000"/>
        </w:rPr>
      </w:pPr>
      <w:r>
        <w:rPr>
          <w:rFonts w:ascii="黑体" w:hAnsi="黑体" w:hint="eastAsia" w:eastAsia="黑体"/>
        </w:rPr>
        <w:t>第二条　</w:t>
      </w:r>
      <w:r>
        <w:rPr>
          <w:rFonts w:hint="eastAsia"/>
          <w:color w:val="000000"/>
        </w:rPr>
        <w:t>多元化纠纷解决机制是指由诉讼和各种非诉讼方式共同构成的纠纷解决体系，其目标是合理配置社会资源，实现纠纷解决程序的合理衔接和相互协调，为纠纷当事人提供便捷和适宜的纠纷解决途径。</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第三条　</w:t>
      </w:r>
      <w:r>
        <w:rPr>
          <w:rFonts w:ascii="仿宋_GB2312;仿宋" w:hAnsi="仿宋_GB2312;仿宋" w:hint="eastAsia" w:eastAsia="仿宋_GB2312;仿宋"/>
          <w:sz w:val="32"/>
          <w:szCs w:val="32"/>
        </w:rPr>
        <w:t>纠纷解决应当遵循下列原则：</w:t>
      </w:r>
    </w:p>
    <w:p>
      <w:pPr>
        <w:pStyle w:val="content"/>
        <w:snapToGrid w:val="false"/>
        <w:spacing w:lineRule="exact" w:line="560"/>
        <w:ind w:firstLineChars="200" w:startChars="0" w:start="0" w:endChars="0" w:end="0"/>
        <w:rPr>
          <w:rFonts w:hint="eastAsia"/>
        </w:rPr>
      </w:pPr>
      <w:r>
        <w:rPr>
          <w:rFonts w:hint="eastAsia"/>
        </w:rPr>
        <w:t>(</w:t>
      </w:r>
      <w:r>
        <w:rPr>
          <w:rFonts w:hint="eastAsia"/>
        </w:rPr>
        <w:t>一</w:t>
      </w:r>
      <w:r>
        <w:rPr>
          <w:rFonts w:hint="eastAsia"/>
        </w:rPr>
        <w:t>)</w:t>
      </w:r>
      <w:r>
        <w:rPr>
          <w:rFonts w:hint="eastAsia"/>
        </w:rPr>
        <w:t>自愿、公平、诚实信用；</w:t>
      </w:r>
    </w:p>
    <w:p>
      <w:pPr>
        <w:pStyle w:val="content"/>
        <w:snapToGrid w:val="false"/>
        <w:spacing w:lineRule="exact" w:line="560"/>
        <w:ind w:firstLineChars="196" w:startChars="0" w:start="0" w:endChars="0" w:end="0"/>
        <w:rPr>
          <w:rFonts w:hint="eastAsia"/>
        </w:rPr>
      </w:pPr>
      <w:r>
        <w:rPr>
          <w:rFonts w:hint="eastAsia"/>
        </w:rPr>
        <w:t>(</w:t>
      </w:r>
      <w:r>
        <w:rPr>
          <w:rFonts w:hint="eastAsia"/>
        </w:rPr>
        <w:t>二</w:t>
      </w:r>
      <w:r>
        <w:rPr>
          <w:rFonts w:hint="eastAsia"/>
        </w:rPr>
        <w:t>)</w:t>
      </w:r>
      <w:r>
        <w:rPr>
          <w:rFonts w:hint="eastAsia"/>
        </w:rPr>
        <w:t>遵守法律、行政法规强制性规定和社会公序良俗；</w:t>
      </w:r>
    </w:p>
    <w:p>
      <w:pPr>
        <w:pStyle w:val="content"/>
        <w:snapToGrid w:val="false"/>
        <w:spacing w:lineRule="exact" w:line="560"/>
        <w:ind w:firstLineChars="196" w:startChars="0" w:start="0" w:endChars="0" w:end="0"/>
        <w:rPr>
          <w:rFonts w:hint="eastAsia"/>
        </w:rPr>
      </w:pPr>
      <w:r>
        <w:rPr>
          <w:rFonts w:hint="eastAsia"/>
        </w:rPr>
        <w:t>(</w:t>
      </w:r>
      <w:r>
        <w:rPr>
          <w:rFonts w:hint="eastAsia"/>
        </w:rPr>
        <w:t>三</w:t>
      </w:r>
      <w:r>
        <w:rPr>
          <w:rFonts w:hint="eastAsia"/>
        </w:rPr>
        <w:t>)</w:t>
      </w:r>
      <w:r>
        <w:rPr>
          <w:rFonts w:hint="eastAsia"/>
        </w:rPr>
        <w:t>不损害社会公共利益和第三人合法权益；</w:t>
      </w:r>
    </w:p>
    <w:p>
      <w:pPr>
        <w:pStyle w:val="content"/>
        <w:snapToGrid w:val="false"/>
        <w:spacing w:lineRule="exact" w:line="560"/>
        <w:ind w:firstLineChars="196" w:startChars="0" w:start="0" w:endChars="0" w:end="0"/>
        <w:rPr>
          <w:rFonts w:hint="eastAsia"/>
        </w:rPr>
      </w:pPr>
      <w:r>
        <w:rPr>
          <w:rFonts w:hint="eastAsia"/>
        </w:rPr>
        <w:t>(</w:t>
      </w:r>
      <w:r>
        <w:rPr>
          <w:rFonts w:hint="eastAsia"/>
        </w:rPr>
        <w:t>四</w:t>
      </w:r>
      <w:r>
        <w:rPr>
          <w:rFonts w:hint="eastAsia"/>
        </w:rPr>
        <w:t>)</w:t>
      </w:r>
      <w:r>
        <w:rPr>
          <w:rFonts w:hint="eastAsia"/>
        </w:rPr>
        <w:t>尊重当事人意思自治和程序选择权，依法保障诉权；</w:t>
      </w:r>
    </w:p>
    <w:p>
      <w:pPr>
        <w:pStyle w:val="content"/>
        <w:snapToGrid w:val="false"/>
        <w:spacing w:lineRule="exact" w:line="560"/>
        <w:ind w:firstLineChars="196" w:startChars="0" w:start="0" w:endChars="0" w:end="0"/>
        <w:rPr>
          <w:rFonts w:hint="eastAsia"/>
        </w:rPr>
      </w:pPr>
      <w:r>
        <w:rPr>
          <w:rFonts w:hint="eastAsia"/>
        </w:rPr>
        <w:t>(</w:t>
      </w:r>
      <w:r>
        <w:rPr>
          <w:rFonts w:hint="eastAsia"/>
        </w:rPr>
        <w:t>五</w:t>
      </w:r>
      <w:r>
        <w:rPr>
          <w:rFonts w:hint="eastAsia"/>
        </w:rPr>
        <w:t>)</w:t>
      </w:r>
      <w:r>
        <w:rPr>
          <w:rFonts w:hint="eastAsia"/>
        </w:rPr>
        <w:t>坚持预防为主，防止矛盾纠纷激化。</w:t>
      </w:r>
    </w:p>
    <w:p>
      <w:pPr>
        <w:pStyle w:val="content"/>
        <w:snapToGrid w:val="false"/>
        <w:spacing w:lineRule="exact" w:line="560"/>
        <w:ind w:firstLineChars="200" w:startChars="0" w:start="0" w:endChars="0" w:end="0"/>
        <w:rPr>
          <w:rFonts w:hint="eastAsia"/>
        </w:rPr>
      </w:pPr>
      <w:r>
        <w:rPr>
          <w:rFonts w:ascii="黑体" w:hAnsi="黑体" w:hint="eastAsia" w:eastAsia="黑体"/>
        </w:rPr>
        <w:t>第四条　</w:t>
      </w:r>
      <w:r>
        <w:rPr>
          <w:rFonts w:hint="eastAsia"/>
        </w:rPr>
        <w:t>社会治安综合治理部门会同司法行政部门，推进多元化纠纷解决机制的建立和完善，制定发展规划，指导、推动工作开展。</w:t>
      </w:r>
    </w:p>
    <w:p>
      <w:pPr>
        <w:pStyle w:val="content"/>
        <w:snapToGrid w:val="false"/>
        <w:spacing w:lineRule="exact" w:line="560"/>
        <w:ind w:firstLineChars="200" w:startChars="0" w:start="0" w:endChars="0" w:end="0"/>
        <w:rPr>
          <w:rFonts w:hint="eastAsia"/>
        </w:rPr>
      </w:pPr>
      <w:r>
        <w:rPr>
          <w:rFonts w:hint="eastAsia"/>
        </w:rPr>
        <w:t>人民法院、人民检察院、政府法制机构以及其他有关职能部门应当在各自职责范围内负责多元化纠纷解决机制的相关工作。</w:t>
      </w:r>
    </w:p>
    <w:p>
      <w:pPr>
        <w:pStyle w:val="content"/>
        <w:snapToGrid w:val="false"/>
        <w:spacing w:lineRule="exact" w:line="560"/>
        <w:ind w:firstLine="600" w:end="0"/>
        <w:rPr>
          <w:rFonts w:hint="eastAsia"/>
          <w:b/>
        </w:rPr>
      </w:pPr>
      <w:r>
        <w:rPr>
          <w:rFonts w:ascii="黑体" w:hAnsi="黑体" w:hint="eastAsia" w:eastAsia="黑体"/>
        </w:rPr>
        <w:t>第五条　</w:t>
      </w:r>
      <w:r>
        <w:rPr>
          <w:rFonts w:hint="eastAsia"/>
        </w:rPr>
        <w:t>市、区人民政府及其有关部门应当依法制定相关规定，加强社会矛盾纠纷预防和化解能力建设，提供必要的公共财政支持，促进各类纠纷解决组织的发展。</w:t>
      </w:r>
    </w:p>
    <w:p>
      <w:pPr>
        <w:pStyle w:val="content"/>
        <w:snapToGrid w:val="false"/>
        <w:spacing w:lineRule="exact" w:line="560"/>
        <w:ind w:firstLine="600" w:end="0"/>
        <w:rPr>
          <w:rFonts w:hint="eastAsia"/>
        </w:rPr>
      </w:pPr>
      <w:r>
        <w:rPr>
          <w:rFonts w:hint="eastAsia"/>
        </w:rPr>
        <w:t>镇人民政府（街道）应当依法履行社会矛盾纠纷预防化解的职责。</w:t>
      </w:r>
    </w:p>
    <w:p>
      <w:pPr>
        <w:pStyle w:val="content"/>
        <w:snapToGrid w:val="false"/>
        <w:spacing w:lineRule="exact" w:line="560"/>
        <w:ind w:firstLine="600" w:end="0"/>
        <w:rPr>
          <w:rFonts w:hint="eastAsia"/>
        </w:rPr>
      </w:pPr>
      <w:r>
        <w:rPr>
          <w:rFonts w:hint="eastAsia"/>
        </w:rPr>
        <w:t xml:space="preserve">村（居）民委员会应当提高社区自治、风险预防和治理能力，及时有效地化解民间纠纷。 </w:t>
      </w:r>
    </w:p>
    <w:p>
      <w:pPr>
        <w:pStyle w:val="content"/>
        <w:snapToGrid w:val="false"/>
        <w:spacing w:lineRule="exact" w:line="560"/>
        <w:ind w:firstLineChars="200" w:startChars="0" w:start="0" w:endChars="0" w:end="0"/>
        <w:rPr>
          <w:rFonts w:hint="eastAsia"/>
        </w:rPr>
      </w:pPr>
      <w:r>
        <w:rPr>
          <w:rFonts w:ascii="黑体" w:hAnsi="黑体" w:hint="eastAsia" w:eastAsia="黑体"/>
        </w:rPr>
        <w:t>第六条　</w:t>
      </w:r>
      <w:r>
        <w:rPr>
          <w:rFonts w:hint="eastAsia"/>
        </w:rPr>
        <w:t xml:space="preserve">人民法院应当加强对调解组织的指导，支持各类纠纷解决组织发挥职能作用，建立健全诉讼与非诉讼纠纷解决衔接机制，为纠纷解决提供司法保障。 </w:t>
      </w:r>
    </w:p>
    <w:p>
      <w:pPr>
        <w:pStyle w:val="content"/>
        <w:snapToGrid w:val="false"/>
        <w:spacing w:lineRule="exact" w:line="560"/>
        <w:ind w:firstLineChars="200" w:startChars="0" w:start="0" w:endChars="0" w:end="0"/>
        <w:rPr>
          <w:rFonts w:hint="eastAsia"/>
        </w:rPr>
      </w:pPr>
      <w:r>
        <w:rPr>
          <w:rFonts w:ascii="黑体" w:hAnsi="黑体" w:hint="eastAsia" w:eastAsia="黑体"/>
        </w:rPr>
        <w:t>第七条　</w:t>
      </w:r>
      <w:r>
        <w:rPr>
          <w:rFonts w:hint="eastAsia"/>
        </w:rPr>
        <w:t>工会、妇联、共青团以及其他有关组织依据各自职责，共同做好社会矛盾纠纷化解工作。</w:t>
      </w:r>
    </w:p>
    <w:p>
      <w:pPr>
        <w:pStyle w:val="content"/>
        <w:snapToGrid w:val="false"/>
        <w:spacing w:lineRule="exact" w:line="560"/>
        <w:ind w:firstLineChars="200" w:startChars="0" w:start="0" w:endChars="0" w:end="0"/>
        <w:rPr>
          <w:rFonts w:hint="eastAsia"/>
        </w:rPr>
      </w:pPr>
      <w:r>
        <w:rPr>
          <w:rFonts w:hint="eastAsia"/>
        </w:rPr>
        <w:t>鼓励社会力量依法提供公益性的纠纷解决服务。</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第八条　</w:t>
      </w:r>
      <w:r>
        <w:rPr>
          <w:rFonts w:ascii="仿宋_GB2312;仿宋" w:hAnsi="仿宋_GB2312;仿宋" w:hint="eastAsia" w:eastAsia="仿宋_GB2312;仿宋"/>
          <w:sz w:val="32"/>
          <w:szCs w:val="32"/>
        </w:rPr>
        <w:t>广播、电视、报刊和网络等新闻媒体应当宣传多元化纠纷解决理念，提供纠纷解决信息服务，引导当事人运用法治方式化解矛盾纠纷。</w:t>
      </w:r>
    </w:p>
    <w:p>
      <w:pPr>
        <w:pStyle w:val="content"/>
        <w:snapToGrid w:val="false"/>
        <w:spacing w:lineRule="exact" w:line="560"/>
        <w:ind w:firstLine="660" w:end="0"/>
        <w:rPr>
          <w:rFonts w:ascii="仿宋_GB2312;仿宋" w:hAnsi="仿宋_GB2312;仿宋" w:eastAsia="仿宋_GB2312;仿宋" w:hint="eastAsia"/>
          <w:sz w:val="32"/>
          <w:szCs w:val="32"/>
        </w:rPr>
      </w:pPr>
      <w:r>
        <w:rPr>
          <w:rFonts w:eastAsia="仿宋_GB2312;仿宋" w:hint="eastAsia"/>
          <w:sz w:val="32"/>
          <w:szCs w:val="32"/>
        </w:rPr>
      </w:r>
    </w:p>
    <w:p>
      <w:pPr>
        <w:pStyle w:val="contentc"/>
        <w:snapToGrid w:val="false"/>
        <w:spacing w:lineRule="exact" w:line="560"/>
        <w:rPr>
          <w:rFonts w:ascii="黑体" w:hAnsi="黑体" w:eastAsia="黑体" w:hint="eastAsia"/>
        </w:rPr>
      </w:pPr>
      <w:r>
        <w:rPr>
          <w:rFonts w:eastAsia="黑体" w:hint="eastAsia" w:ascii="黑体" w:hAnsi="黑体"/>
        </w:rPr>
        <w:t xml:space="preserve"> </w:t>
      </w:r>
      <w:r>
        <w:rPr>
          <w:rFonts w:ascii="黑体" w:hAnsi="黑体" w:hint="eastAsia" w:eastAsia="黑体"/>
        </w:rPr>
        <w:t>第二章　纠纷解决途径</w:t>
      </w:r>
    </w:p>
    <w:p>
      <w:pPr>
        <w:pStyle w:val="contentc"/>
        <w:snapToGrid w:val="false"/>
        <w:spacing w:lineRule="exact" w:line="560"/>
        <w:rPr>
          <w:rFonts w:ascii="黑体" w:hAnsi="黑体" w:eastAsia="黑体" w:hint="eastAsia"/>
        </w:rPr>
      </w:pPr>
      <w:r>
        <w:rPr>
          <w:rFonts w:eastAsia="黑体" w:hint="eastAsia" w:ascii="黑体" w:hAnsi="黑体"/>
        </w:rPr>
      </w:r>
    </w:p>
    <w:p>
      <w:pPr>
        <w:pStyle w:val="contentc"/>
        <w:snapToGrid w:val="false"/>
        <w:spacing w:lineRule="exact" w:line="560"/>
        <w:rPr>
          <w:rFonts w:hint="eastAsia"/>
          <w:b/>
        </w:rPr>
      </w:pPr>
      <w:r>
        <w:rPr>
          <w:rFonts w:ascii="黑体" w:hAnsi="黑体" w:hint="eastAsia" w:eastAsia="黑体"/>
        </w:rPr>
        <w:t>第一节　一般规定</w:t>
      </w:r>
    </w:p>
    <w:p>
      <w:pPr>
        <w:pStyle w:val="Normal"/>
        <w:snapToGrid w:val="false"/>
        <w:spacing w:lineRule="exact" w:line="560"/>
        <w:ind w:firstLineChars="200" w:startChars="0" w:start="0" w:endChars="0" w:end="0"/>
        <w:rPr>
          <w:rFonts w:ascii="黑体" w:hAnsi="黑体" w:eastAsia="黑体" w:cs="宋体" w:hint="eastAsia"/>
          <w:b/>
          <w:kern w:val="0"/>
          <w:sz w:val="32"/>
          <w:szCs w:val="32"/>
        </w:rPr>
      </w:pPr>
      <w:r>
        <w:rPr>
          <w:rFonts w:eastAsia="黑体" w:cs="宋体" w:hint="eastAsia" w:ascii="黑体" w:hAnsi="黑体"/>
          <w:b/>
          <w:kern w:val="0"/>
          <w:sz w:val="32"/>
          <w:szCs w:val="32"/>
        </w:rPr>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第九条</w:t>
      </w:r>
      <w:r>
        <w:rPr>
          <w:rFonts w:ascii="仿宋_GB2312;仿宋" w:hAnsi="仿宋_GB2312;仿宋" w:hint="eastAsia" w:eastAsia="仿宋_GB2312;仿宋"/>
          <w:b/>
          <w:sz w:val="32"/>
          <w:szCs w:val="32"/>
        </w:rPr>
        <w:t>　</w:t>
      </w:r>
      <w:r>
        <w:rPr>
          <w:rFonts w:ascii="仿宋_GB2312;仿宋" w:hAnsi="仿宋_GB2312;仿宋" w:hint="eastAsia" w:eastAsia="仿宋_GB2312;仿宋"/>
          <w:sz w:val="32"/>
          <w:szCs w:val="32"/>
        </w:rPr>
        <w:t>当事人可以自主选择下列途径解决纠纷：</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协商和解；</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人民调解、行业调解、商事调解以及其他具有调解职能的组织和个人调解；</w:t>
      </w:r>
    </w:p>
    <w:p>
      <w:pPr>
        <w:pStyle w:val="Normal"/>
        <w:snapToGrid w:val="false"/>
        <w:spacing w:lineRule="exact" w:line="560"/>
        <w:ind w:firstLine="60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行政调解、行政指导、行政裁决、行政复议以及行政机关处理纠纷的其他方式；</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四</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仲裁；</w:t>
      </w:r>
    </w:p>
    <w:p>
      <w:pPr>
        <w:pStyle w:val="Normal"/>
        <w:snapToGrid w:val="false"/>
        <w:spacing w:lineRule="exact" w:line="560"/>
        <w:ind w:firstLineChars="198"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五</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诉讼；</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六</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法律、行政法规规定或者当事人认可的其他方式。</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第十条</w:t>
      </w:r>
      <w:r>
        <w:rPr>
          <w:rFonts w:ascii="仿宋_GB2312;仿宋" w:hAnsi="仿宋_GB2312;仿宋" w:hint="eastAsia" w:eastAsia="仿宋_GB2312;仿宋"/>
          <w:sz w:val="32"/>
          <w:szCs w:val="32"/>
        </w:rPr>
        <w:t>　鼓励和引导当事人优先选择成本较低、对抗性较弱、利于修复关系的非诉讼方式解决纠纷。</w:t>
      </w:r>
    </w:p>
    <w:p>
      <w:pPr>
        <w:pStyle w:val="content"/>
        <w:snapToGrid w:val="false"/>
        <w:spacing w:lineRule="exact" w:line="560"/>
        <w:ind w:firstLineChars="198" w:startChars="0" w:start="0" w:endChars="0" w:end="0"/>
        <w:rPr>
          <w:rFonts w:hint="eastAsia"/>
        </w:rPr>
      </w:pPr>
      <w:r>
        <w:rPr>
          <w:rFonts w:ascii="黑体" w:hAnsi="黑体" w:hint="eastAsia" w:eastAsia="黑体"/>
        </w:rPr>
        <w:t>第十一条</w:t>
      </w:r>
      <w:r>
        <w:rPr>
          <w:rFonts w:hint="eastAsia"/>
        </w:rPr>
        <w:t>　调解组织对不适用调解，或者调解不成的纠纷，应当告知当事人依法申请有关行政机关处理、申请仲裁或者向人民法院起诉。</w:t>
      </w:r>
    </w:p>
    <w:p>
      <w:pPr>
        <w:pStyle w:val="content"/>
        <w:snapToGrid w:val="false"/>
        <w:spacing w:lineRule="exact" w:line="560"/>
        <w:ind w:firstLineChars="196" w:startChars="0" w:start="0" w:endChars="0" w:end="0"/>
        <w:rPr>
          <w:rFonts w:hint="eastAsia"/>
        </w:rPr>
      </w:pPr>
      <w:r>
        <w:rPr>
          <w:rFonts w:hint="eastAsia"/>
        </w:rPr>
        <w:t>行政机关对不属于其职权范围内的事项，或者调处不成的纠纷，应当告知当事人获得救济的权利和渠道，引导当事人通过适当途径解决。</w:t>
      </w:r>
    </w:p>
    <w:p>
      <w:pPr>
        <w:pStyle w:val="content"/>
        <w:snapToGrid w:val="false"/>
        <w:spacing w:lineRule="exact" w:line="560"/>
        <w:ind w:firstLine="660" w:end="0"/>
        <w:rPr>
          <w:rFonts w:hint="eastAsia"/>
        </w:rPr>
      </w:pPr>
      <w:r>
        <w:rPr>
          <w:rFonts w:ascii="黑体" w:hAnsi="黑体" w:hint="eastAsia" w:eastAsia="黑体"/>
        </w:rPr>
        <w:t>第十二条　</w:t>
      </w:r>
      <w:r>
        <w:rPr>
          <w:rFonts w:hint="eastAsia"/>
        </w:rPr>
        <w:t>人民法院可以在立案前对纠纷进行评估，提供程序选择的建议，引导当事人自愿选择适当的非诉讼方式解决纠纷。</w:t>
      </w:r>
    </w:p>
    <w:p>
      <w:pPr>
        <w:pStyle w:val="contentc"/>
        <w:snapToGrid w:val="false"/>
        <w:spacing w:lineRule="exact" w:line="560"/>
        <w:rPr>
          <w:rFonts w:hint="eastAsia"/>
        </w:rPr>
      </w:pPr>
      <w:r>
        <w:rPr>
          <w:rFonts w:hint="eastAsia"/>
        </w:rPr>
      </w:r>
    </w:p>
    <w:p>
      <w:pPr>
        <w:pStyle w:val="contentc"/>
        <w:snapToGrid w:val="false"/>
        <w:spacing w:lineRule="exact" w:line="560"/>
        <w:rPr>
          <w:rFonts w:ascii="黑体" w:hAnsi="黑体" w:eastAsia="黑体" w:hint="eastAsia"/>
        </w:rPr>
      </w:pPr>
      <w:r>
        <w:rPr>
          <w:rFonts w:ascii="黑体" w:hAnsi="黑体" w:hint="eastAsia" w:eastAsia="黑体"/>
        </w:rPr>
        <w:t>第二节　和解与调解</w:t>
      </w:r>
    </w:p>
    <w:p>
      <w:pPr>
        <w:pStyle w:val="contentc"/>
        <w:snapToGrid w:val="false"/>
        <w:spacing w:lineRule="exact" w:line="560"/>
        <w:rPr>
          <w:rFonts w:ascii="黑体" w:hAnsi="黑体" w:eastAsia="黑体" w:hint="eastAsia"/>
          <w:b/>
        </w:rPr>
      </w:pPr>
      <w:r>
        <w:rPr>
          <w:rFonts w:eastAsia="黑体" w:hint="eastAsia" w:ascii="黑体" w:hAnsi="黑体"/>
          <w:b/>
        </w:rPr>
      </w:r>
    </w:p>
    <w:p>
      <w:pPr>
        <w:pStyle w:val="contentc"/>
        <w:snapToGrid w:val="false"/>
        <w:spacing w:lineRule="exact" w:line="560"/>
        <w:ind w:firstLine="660" w:end="0"/>
        <w:jc w:val="both"/>
        <w:rPr>
          <w:rFonts w:hint="eastAsia"/>
        </w:rPr>
      </w:pPr>
      <w:r>
        <w:rPr>
          <w:rFonts w:ascii="黑体" w:hAnsi="黑体" w:hint="eastAsia" w:eastAsia="黑体"/>
        </w:rPr>
        <w:t>第十三条　</w:t>
      </w:r>
      <w:r>
        <w:rPr>
          <w:rFonts w:hint="eastAsia"/>
        </w:rPr>
        <w:t>鼓励当事人就纠纷解决先行协商，通过磋商、谈判、第三方斡旋等方式，达成和解协议。</w:t>
      </w:r>
    </w:p>
    <w:p>
      <w:pPr>
        <w:pStyle w:val="contentc"/>
        <w:snapToGrid w:val="false"/>
        <w:spacing w:lineRule="exact" w:line="560"/>
        <w:ind w:firstLine="660" w:end="0"/>
        <w:jc w:val="both"/>
        <w:rPr>
          <w:rFonts w:hint="eastAsia"/>
        </w:rPr>
      </w:pPr>
      <w:r>
        <w:rPr>
          <w:rFonts w:ascii="黑体" w:hAnsi="黑体" w:hint="eastAsia" w:eastAsia="黑体"/>
        </w:rPr>
        <w:t>第十四条</w:t>
      </w:r>
      <w:r>
        <w:rPr>
          <w:rFonts w:hint="eastAsia"/>
        </w:rPr>
        <w:t>　当事人可以委托律师、相关专家或者其他人员参与协商。</w:t>
      </w:r>
    </w:p>
    <w:p>
      <w:pPr>
        <w:pStyle w:val="contentc"/>
        <w:snapToGrid w:val="false"/>
        <w:spacing w:lineRule="exact" w:line="560"/>
        <w:ind w:firstLine="660" w:end="0"/>
        <w:jc w:val="both"/>
        <w:rPr>
          <w:rFonts w:hint="eastAsia"/>
        </w:rPr>
      </w:pPr>
      <w:r>
        <w:rPr>
          <w:rFonts w:hint="eastAsia"/>
        </w:rPr>
        <w:t>当事人在协商过程中，可以申请相关行政主管部门、调解组织帮助进行协调，也可以就有关事宜进行咨询。</w:t>
      </w:r>
    </w:p>
    <w:p>
      <w:pPr>
        <w:pStyle w:val="contentc"/>
        <w:snapToGrid w:val="false"/>
        <w:spacing w:lineRule="exact" w:line="560"/>
        <w:ind w:firstLine="660" w:end="0"/>
        <w:jc w:val="both"/>
        <w:rPr>
          <w:rFonts w:hint="eastAsia"/>
        </w:rPr>
      </w:pPr>
      <w:r>
        <w:rPr>
          <w:rFonts w:ascii="黑体" w:hAnsi="黑体" w:hint="eastAsia" w:eastAsia="黑体"/>
        </w:rPr>
        <w:t>第十五条</w:t>
      </w:r>
      <w:r>
        <w:rPr>
          <w:rFonts w:hint="eastAsia"/>
          <w:b/>
        </w:rPr>
        <w:t>　</w:t>
      </w:r>
      <w:r>
        <w:rPr>
          <w:rFonts w:hint="eastAsia"/>
        </w:rPr>
        <w:t>当事人可以将纠纷提交给共同委托的律师、相关专家或者其他中立第三方，对相关事实、法律依据和处理结果进行评估，评估意见作为协商和调解的参考依据。</w:t>
      </w:r>
    </w:p>
    <w:p>
      <w:pPr>
        <w:pStyle w:val="contentc"/>
        <w:snapToGrid w:val="false"/>
        <w:spacing w:lineRule="exact" w:line="560"/>
        <w:ind w:firstLine="660" w:end="0"/>
        <w:jc w:val="both"/>
        <w:rPr>
          <w:rFonts w:hint="eastAsia"/>
        </w:rPr>
      </w:pPr>
      <w:r>
        <w:rPr>
          <w:rFonts w:hint="eastAsia"/>
        </w:rPr>
        <w:t>评估结束后，评估人员可以引导当事人达成和解协议，评估人员应当对委托的事项保密。</w:t>
      </w:r>
    </w:p>
    <w:p>
      <w:pPr>
        <w:pStyle w:val="content"/>
        <w:snapToGrid w:val="false"/>
        <w:spacing w:lineRule="exact" w:line="560"/>
        <w:ind w:firstLineChars="200" w:startChars="0" w:start="0" w:endChars="0" w:end="0"/>
        <w:rPr>
          <w:rFonts w:hint="eastAsia"/>
          <w:shd w:fill="E5E5E5" w:val="clear"/>
        </w:rPr>
      </w:pPr>
      <w:r>
        <w:rPr>
          <w:rFonts w:hint="eastAsia"/>
        </w:rPr>
        <w:t>当事人可以委托律师、相关专家或者其他中立第三方对纠纷进行事实调查，或者对专业技术问题提供意见。</w:t>
      </w:r>
    </w:p>
    <w:p>
      <w:pPr>
        <w:pStyle w:val="content"/>
        <w:snapToGrid w:val="false"/>
        <w:spacing w:lineRule="exact" w:line="560"/>
        <w:ind w:firstLineChars="196" w:startChars="0" w:start="0" w:endChars="0" w:end="0"/>
        <w:rPr>
          <w:rFonts w:hint="eastAsia"/>
        </w:rPr>
      </w:pPr>
      <w:r>
        <w:rPr>
          <w:rFonts w:ascii="黑体" w:hAnsi="黑体" w:hint="eastAsia" w:eastAsia="黑体"/>
        </w:rPr>
        <w:t>第十六条　</w:t>
      </w:r>
      <w:r>
        <w:rPr>
          <w:rFonts w:hint="eastAsia"/>
        </w:rPr>
        <w:t>当事人可以向调解组织申请调解，调解组织可以主动调解。一方当事人明确拒绝调解的，不得强制调解。</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第十七条　</w:t>
      </w:r>
      <w:r>
        <w:rPr>
          <w:rFonts w:ascii="仿宋_GB2312;仿宋" w:hAnsi="仿宋_GB2312;仿宋" w:hint="eastAsia" w:eastAsia="仿宋_GB2312;仿宋"/>
          <w:sz w:val="32"/>
          <w:szCs w:val="32"/>
        </w:rPr>
        <w:t>调解员应当保持中立、客观。与当事人存在可能影响公正调解的关系，或者与调解事项有利害关系的，应当在调解前主动披露。一方当事人要求回避的，应当回避。</w:t>
      </w:r>
    </w:p>
    <w:p>
      <w:pPr>
        <w:pStyle w:val="content"/>
        <w:snapToGrid w:val="false"/>
        <w:spacing w:lineRule="exact" w:line="560"/>
        <w:ind w:firstLineChars="200" w:startChars="0" w:start="0" w:endChars="0" w:end="0"/>
        <w:rPr>
          <w:rFonts w:hint="eastAsia"/>
          <w:bdr w:val="single" w:sz="4" w:space="0" w:color="000000"/>
          <w:shd w:fill="E5E5E5" w:val="clear"/>
        </w:rPr>
      </w:pPr>
      <w:r>
        <w:rPr>
          <w:rFonts w:ascii="黑体" w:hAnsi="黑体" w:hint="eastAsia" w:eastAsia="黑体"/>
        </w:rPr>
        <w:t>第十八条　</w:t>
      </w:r>
      <w:r>
        <w:rPr>
          <w:rFonts w:hint="eastAsia"/>
        </w:rPr>
        <w:t>调解不公开进行，但当事人同意公开的除外。</w:t>
      </w:r>
    </w:p>
    <w:p>
      <w:pPr>
        <w:pStyle w:val="content"/>
        <w:snapToGrid w:val="false"/>
        <w:spacing w:lineRule="exact" w:line="560"/>
        <w:ind w:firstLineChars="200" w:startChars="0" w:start="0" w:endChars="0" w:end="0"/>
        <w:rPr>
          <w:rFonts w:hint="eastAsia"/>
        </w:rPr>
      </w:pPr>
      <w:r>
        <w:rPr>
          <w:rFonts w:hint="eastAsia"/>
        </w:rPr>
        <w:t>调解组织、调解人员及其他有关人员对涉及当事人的个人隐私和商业秘密负有保密义务。</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第十九条</w:t>
      </w:r>
      <w:r>
        <w:rPr>
          <w:rFonts w:ascii="仿宋_GB2312;仿宋" w:hAnsi="仿宋_GB2312;仿宋" w:hint="eastAsia" w:eastAsia="仿宋_GB2312;仿宋"/>
          <w:b/>
          <w:sz w:val="32"/>
          <w:szCs w:val="32"/>
        </w:rPr>
        <w:t>　</w:t>
      </w:r>
      <w:r>
        <w:rPr>
          <w:rFonts w:ascii="仿宋_GB2312;仿宋" w:hAnsi="仿宋_GB2312;仿宋" w:hint="eastAsia" w:eastAsia="仿宋_GB2312;仿宋"/>
          <w:sz w:val="32"/>
          <w:szCs w:val="32"/>
        </w:rPr>
        <w:t>调解员在不违反法律、行政法规强制性规定的前提下，可以参考行业惯例、交易习惯、村规民约、社区公约和公序良俗，引导当事人达成调解协议。</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第二十条　</w:t>
      </w:r>
      <w:r>
        <w:rPr>
          <w:rFonts w:ascii="仿宋_GB2312;仿宋" w:hAnsi="仿宋_GB2312;仿宋" w:hint="eastAsia" w:eastAsia="仿宋_GB2312;仿宋"/>
          <w:sz w:val="32"/>
          <w:szCs w:val="32"/>
        </w:rPr>
        <w:t>调解组织应当按照调解规则规定的期限完成调解，当事人可以自行约定调解期限。没有规定或者约定的，调解期限为三十日，法律、法规、规章另有规定的从其规定。</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在期限内调解不成的，应当终止调解；双方当事人同意延期的，可以继续调解。</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第二十一条　</w:t>
      </w:r>
      <w:r>
        <w:rPr>
          <w:rFonts w:ascii="仿宋_GB2312;仿宋" w:hAnsi="仿宋_GB2312;仿宋" w:hint="eastAsia" w:eastAsia="仿宋_GB2312;仿宋"/>
          <w:sz w:val="32"/>
          <w:szCs w:val="32"/>
        </w:rPr>
        <w:t>调解过程中有下列情形之一的，终止调解：</w:t>
      </w:r>
    </w:p>
    <w:p>
      <w:pPr>
        <w:pStyle w:val="Normal"/>
        <w:snapToGrid w:val="false"/>
        <w:spacing w:lineRule="exact" w:line="560"/>
        <w:ind w:firstLineChars="25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 xml:space="preserve">当事人撤回调解申请或者明确表示不再接受调解的； </w:t>
      </w:r>
    </w:p>
    <w:p>
      <w:pPr>
        <w:pStyle w:val="Normal"/>
        <w:snapToGrid w:val="false"/>
        <w:spacing w:lineRule="exact" w:line="560"/>
        <w:ind w:firstLineChars="25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 xml:space="preserve">当事人隐瞒重要事实、提供虚假情况或者故意拖延时间的； </w:t>
      </w:r>
    </w:p>
    <w:p>
      <w:pPr>
        <w:pStyle w:val="Normal"/>
        <w:snapToGrid w:val="false"/>
        <w:spacing w:lineRule="exact" w:line="560"/>
        <w:ind w:firstLineChars="25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当事人可能存在恶意串通，损害公共利益或者第三人合法权益的；</w:t>
      </w:r>
    </w:p>
    <w:p>
      <w:pPr>
        <w:pStyle w:val="Normal"/>
        <w:snapToGrid w:val="false"/>
        <w:spacing w:lineRule="exact" w:line="560"/>
        <w:ind w:firstLineChars="249" w:startChars="0" w:start="0" w:endChars="0" w:end="0"/>
        <w:rPr>
          <w:rFonts w:ascii="仿宋_GB2312;仿宋" w:hAnsi="仿宋_GB2312;仿宋" w:eastAsia="仿宋_GB2312;仿宋" w:hint="eastAsia"/>
          <w:sz w:val="32"/>
          <w:szCs w:val="32"/>
          <w:bdr w:val="single" w:sz="4" w:space="0" w:color="000000"/>
          <w:shd w:fill="E5E5E5" w:val="clear"/>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四</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其他导致调解活动难以进行的；</w:t>
      </w:r>
    </w:p>
    <w:p>
      <w:pPr>
        <w:pStyle w:val="Normal"/>
        <w:snapToGrid w:val="false"/>
        <w:spacing w:lineRule="exact" w:line="560"/>
        <w:ind w:firstLineChars="25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五</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法律、法规、规章规定其他终止调解的。</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第二十二条</w:t>
      </w:r>
      <w:r>
        <w:rPr>
          <w:rFonts w:ascii="仿宋_GB2312;仿宋" w:hAnsi="仿宋_GB2312;仿宋" w:hint="eastAsia" w:eastAsia="仿宋_GB2312;仿宋"/>
          <w:b/>
          <w:sz w:val="32"/>
          <w:szCs w:val="32"/>
        </w:rPr>
        <w:t>　</w:t>
      </w:r>
      <w:r>
        <w:rPr>
          <w:rFonts w:ascii="仿宋_GB2312;仿宋" w:hAnsi="仿宋_GB2312;仿宋" w:hint="eastAsia" w:eastAsia="仿宋_GB2312;仿宋"/>
          <w:sz w:val="32"/>
          <w:szCs w:val="32"/>
        </w:rPr>
        <w:t>终止调解后，当事人认为需要的，调解组织应当出具证明，如实记载当事人申请调解和调解终止时间。</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第二十三条　</w:t>
      </w:r>
      <w:r>
        <w:rPr>
          <w:rFonts w:ascii="仿宋_GB2312;仿宋" w:hAnsi="仿宋_GB2312;仿宋" w:hint="eastAsia" w:eastAsia="仿宋_GB2312;仿宋"/>
          <w:sz w:val="32"/>
          <w:szCs w:val="32"/>
        </w:rPr>
        <w:t>调解未达成调解协议的，经双方当事人同意，调解员可以对没有争议的事实进行记载，由当事人在调解笔录上签字确认。</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第二十四条　</w:t>
      </w:r>
      <w:r>
        <w:rPr>
          <w:rFonts w:ascii="仿宋_GB2312;仿宋" w:hAnsi="仿宋_GB2312;仿宋" w:hint="eastAsia" w:eastAsia="仿宋_GB2312;仿宋"/>
          <w:sz w:val="32"/>
          <w:szCs w:val="32"/>
        </w:rPr>
        <w:t>调解未能达成调解协议，但当事人之间已经就主要争议事项达成共识，仅在个别问题还有争议的，调解员征得双方当事人书面同意后，可以提出调解方案并书面送达当事人，同时告知提出异议的方式、期限及法律后果。</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当事人在规定期限内对该调解方案提出异议的，视为调解不成立；未提出异议的，该调解方案即视为双方自愿达成的调解协议。</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第二十五条　</w:t>
      </w:r>
      <w:r>
        <w:rPr>
          <w:rFonts w:ascii="仿宋_GB2312;仿宋" w:hAnsi="仿宋_GB2312;仿宋" w:hint="eastAsia" w:eastAsia="仿宋_GB2312;仿宋"/>
          <w:sz w:val="32"/>
          <w:szCs w:val="32"/>
        </w:rPr>
        <w:t>当事人约定允许调解组织对未达成协议的争议事项提出处理意见并承诺接受的，该处理意见可以视为调解协议的组成部分，由双方当事人签字生效。</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第二十六条　</w:t>
      </w:r>
      <w:r>
        <w:rPr>
          <w:rFonts w:ascii="仿宋_GB2312;仿宋" w:hAnsi="仿宋_GB2312;仿宋" w:hint="eastAsia" w:eastAsia="仿宋_GB2312;仿宋"/>
          <w:sz w:val="32"/>
          <w:szCs w:val="32"/>
        </w:rPr>
        <w:t>当事人就部分争议事项达成调解协议的，调解组织可以就该部分先行确认并制作调解协议。</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第二十七条　</w:t>
      </w:r>
      <w:r>
        <w:rPr>
          <w:rFonts w:ascii="仿宋_GB2312;仿宋" w:hAnsi="仿宋_GB2312;仿宋" w:hint="eastAsia" w:eastAsia="仿宋_GB2312;仿宋"/>
          <w:sz w:val="32"/>
          <w:szCs w:val="32"/>
        </w:rPr>
        <w:t>经调解达成调解协议的，调解组织应当制作调解协议书，由双方当事人在调解协议书上签字或者盖章，调解员签字并加盖调解组织印章。双方当事人认为无需制作调解协议书的，调解员应当记录协议内容，并由双方当事人签字。</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第二十八条　</w:t>
      </w:r>
      <w:r>
        <w:rPr>
          <w:rFonts w:ascii="仿宋_GB2312;仿宋" w:hAnsi="仿宋_GB2312;仿宋" w:hint="eastAsia" w:eastAsia="仿宋_GB2312;仿宋"/>
          <w:sz w:val="32"/>
          <w:szCs w:val="32"/>
        </w:rPr>
        <w:t>依法达成的和解协议、调解协议具有合同效力，当事人应当按照约定履行。</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调解组织应当对调解协议的履行情况进行监督，督促当事人履行约定的义务。</w:t>
      </w:r>
    </w:p>
    <w:p>
      <w:pPr>
        <w:pStyle w:val="Normal"/>
        <w:snapToGrid w:val="false"/>
        <w:spacing w:lineRule="exact" w:line="560"/>
        <w:ind w:firstLineChars="200" w:startChars="0" w:start="0" w:endChars="0" w:end="0"/>
        <w:rPr>
          <w:rFonts w:ascii="仿宋_GB2312;仿宋" w:hAnsi="仿宋_GB2312;仿宋" w:eastAsia="仿宋_GB2312;仿宋" w:hint="eastAsia"/>
          <w:b/>
          <w:sz w:val="32"/>
          <w:szCs w:val="32"/>
        </w:rPr>
      </w:pPr>
      <w:r>
        <w:rPr>
          <w:rFonts w:eastAsia="仿宋_GB2312;仿宋" w:hint="eastAsia" w:ascii="仿宋_GB2312;仿宋" w:hAnsi="仿宋_GB2312;仿宋"/>
          <w:b/>
          <w:sz w:val="32"/>
          <w:szCs w:val="32"/>
        </w:rPr>
      </w:r>
    </w:p>
    <w:p>
      <w:pPr>
        <w:pStyle w:val="Normal"/>
        <w:snapToGrid w:val="false"/>
        <w:spacing w:lineRule="exact" w:line="560"/>
        <w:jc w:val="center"/>
        <w:rPr>
          <w:rFonts w:ascii="黑体" w:hAnsi="黑体" w:eastAsia="黑体" w:cs="宋体" w:hint="eastAsia"/>
          <w:kern w:val="0"/>
          <w:sz w:val="32"/>
          <w:szCs w:val="32"/>
        </w:rPr>
      </w:pPr>
      <w:r>
        <w:rPr>
          <w:rFonts w:ascii="黑体" w:hAnsi="黑体" w:cs="宋体" w:hint="eastAsia" w:eastAsia="黑体"/>
          <w:kern w:val="0"/>
          <w:sz w:val="32"/>
          <w:szCs w:val="32"/>
        </w:rPr>
        <w:t>第三节　行政调解与行政裁决</w:t>
      </w:r>
    </w:p>
    <w:p>
      <w:pPr>
        <w:pStyle w:val="Normal"/>
        <w:snapToGrid w:val="false"/>
        <w:spacing w:lineRule="exact" w:line="560"/>
        <w:jc w:val="center"/>
        <w:rPr>
          <w:rFonts w:ascii="仿宋_GB2312;仿宋" w:hAnsi="仿宋_GB2312;仿宋" w:eastAsia="仿宋_GB2312;仿宋" w:cs="宋体" w:hint="eastAsia"/>
          <w:b/>
          <w:kern w:val="0"/>
          <w:sz w:val="32"/>
          <w:szCs w:val="32"/>
        </w:rPr>
      </w:pPr>
      <w:r>
        <w:rPr>
          <w:rFonts w:eastAsia="仿宋_GB2312;仿宋" w:cs="宋体" w:hint="eastAsia" w:ascii="仿宋_GB2312;仿宋" w:hAnsi="仿宋_GB2312;仿宋"/>
          <w:b/>
          <w:kern w:val="0"/>
          <w:sz w:val="32"/>
          <w:szCs w:val="32"/>
        </w:rPr>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第二十九条　</w:t>
      </w:r>
      <w:r>
        <w:rPr>
          <w:rFonts w:ascii="仿宋_GB2312;仿宋" w:hAnsi="仿宋_GB2312;仿宋" w:hint="eastAsia" w:eastAsia="仿宋_GB2312;仿宋"/>
          <w:sz w:val="32"/>
          <w:szCs w:val="32"/>
        </w:rPr>
        <w:t>行政机关应当依法履行行政调解职责，健全行政裁决制度，强化解决同行政管理活动密切相关的民事纠纷功能。</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第三十条　</w:t>
      </w:r>
      <w:r>
        <w:rPr>
          <w:rFonts w:ascii="仿宋_GB2312;仿宋" w:hAnsi="仿宋_GB2312;仿宋" w:hint="eastAsia" w:eastAsia="仿宋_GB2312;仿宋"/>
          <w:sz w:val="32"/>
          <w:szCs w:val="32"/>
        </w:rPr>
        <w:t>下列纠纷经当事人申请，行政机关应当进行调解：</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法律、行政法规规定由行政机关调解的公民、法人或者其他组织之间发生的与行政管理相关的民商事纠纷；</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行政机关与公民、法人或者其他组织之间发生的依法可以调解的行政争议；</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（三）具有管理公共事务职能的组织与公民、法人或者其他组织之间发生的依法可以调解的行政争议；</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四</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市人民政府规定的属于行政调解范围的其他纠纷。</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第三十一条</w:t>
      </w:r>
      <w:r>
        <w:rPr>
          <w:rFonts w:ascii="仿宋_GB2312;仿宋" w:hAnsi="仿宋_GB2312;仿宋" w:hint="eastAsia" w:eastAsia="仿宋_GB2312;仿宋"/>
          <w:sz w:val="32"/>
          <w:szCs w:val="32"/>
        </w:rPr>
        <w:t>　行政机关在履行职责过程中发现纠纷时，应当告知当事人可以申请行政调解；对资源开发、环境污染、公共安全事故等方面的民事纠纷，以及涉及人数较多、影响较大、可能影响社会稳定的纠纷，应当依职权主动进行调解。</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第三十二条　</w:t>
      </w:r>
      <w:r>
        <w:rPr>
          <w:rFonts w:ascii="仿宋_GB2312;仿宋" w:hAnsi="仿宋_GB2312;仿宋" w:hint="eastAsia" w:eastAsia="仿宋_GB2312;仿宋"/>
          <w:sz w:val="32"/>
          <w:szCs w:val="32"/>
        </w:rPr>
        <w:t>行政调解实行属地管理和首问负责制，对与本部门职能相关的争议纠纷，根据法律、法规、规章及政策进行调解。对不属于本部门调解范围的争议纠纷，应当在三日内移送给有管辖权的部门。</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行政调解管辖不明确或者有争议的，或者涉及多个部门的，由最初受理的行政机关报请共同的上级行政机关指定管辖。</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第三十三条　</w:t>
      </w:r>
      <w:r>
        <w:rPr>
          <w:rFonts w:ascii="仿宋_GB2312;仿宋" w:hAnsi="仿宋_GB2312;仿宋" w:hint="eastAsia" w:eastAsia="仿宋_GB2312;仿宋"/>
          <w:sz w:val="32"/>
          <w:szCs w:val="32"/>
        </w:rPr>
        <w:t>行政机关对当事人提出的行政调解申请，应当在二日内作出是否受理的决定；法律关系复杂的，或者涉及多个部门的，应当在四日内作出决定。决定不予受理的，应当书面告知并说明理由。</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第三十四条　</w:t>
      </w:r>
      <w:r>
        <w:rPr>
          <w:rFonts w:ascii="仿宋_GB2312;仿宋" w:hAnsi="仿宋_GB2312;仿宋" w:hint="eastAsia" w:eastAsia="仿宋_GB2312;仿宋"/>
          <w:sz w:val="32"/>
          <w:szCs w:val="32"/>
        </w:rPr>
        <w:t>行政调解人员有下列情形之一的，应当回避，当事人也可以申请回避：</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与纠纷当事人或者其代理人有利害关系的； </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与调解事项有利害关系的； </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存在其他可能影响公正调解情形的。</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第三十五条　</w:t>
      </w:r>
      <w:r>
        <w:rPr>
          <w:rFonts w:ascii="仿宋_GB2312;仿宋" w:hAnsi="仿宋_GB2312;仿宋" w:hint="eastAsia" w:eastAsia="仿宋_GB2312;仿宋"/>
          <w:sz w:val="32"/>
          <w:szCs w:val="32"/>
        </w:rPr>
        <w:t>行政机关在其法定职权范围内，可以通过建议、辅导、规劝、示范、约谈等非强制性方式，实施行政指导，引导当事人协商解决纠纷。</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第三十六条</w:t>
      </w:r>
      <w:r>
        <w:rPr>
          <w:rFonts w:ascii="仿宋_GB2312;仿宋" w:hAnsi="仿宋_GB2312;仿宋" w:hint="eastAsia" w:eastAsia="仿宋_GB2312;仿宋"/>
          <w:b/>
          <w:sz w:val="32"/>
          <w:szCs w:val="32"/>
        </w:rPr>
        <w:t>　</w:t>
      </w:r>
      <w:r>
        <w:rPr>
          <w:rFonts w:ascii="仿宋_GB2312;仿宋" w:hAnsi="仿宋_GB2312;仿宋" w:hint="eastAsia" w:eastAsia="仿宋_GB2312;仿宋"/>
          <w:sz w:val="32"/>
          <w:szCs w:val="32"/>
        </w:rPr>
        <w:t>行政机关可以通过提供事实调查结果、专业鉴定或者法律意见，作为当事人协商的依据，促使其达成和解。</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第三十七条　</w:t>
      </w:r>
      <w:r>
        <w:rPr>
          <w:rFonts w:ascii="仿宋_GB2312;仿宋" w:hAnsi="仿宋_GB2312;仿宋" w:hint="eastAsia" w:eastAsia="仿宋_GB2312;仿宋"/>
          <w:sz w:val="32"/>
          <w:szCs w:val="32"/>
        </w:rPr>
        <w:t>行政机关可以根据当事人的申请，依法对与</w:t>
      </w:r>
      <w:hyperlink r:id="rId2" w:tgtFrame="_blank">
        <w:r>
          <w:rPr>
            <w:rStyle w:val="Hyperlink"/>
            <w:rFonts w:ascii="仿宋_GB2312;仿宋" w:hAnsi="仿宋_GB2312;仿宋" w:hint="eastAsia" w:eastAsia="仿宋_GB2312;仿宋"/>
            <w:sz w:val="32"/>
            <w:szCs w:val="32"/>
          </w:rPr>
          <w:t>行政管理</w:t>
        </w:r>
      </w:hyperlink>
      <w:r>
        <w:rPr>
          <w:rFonts w:ascii="仿宋_GB2312;仿宋" w:hAnsi="仿宋_GB2312;仿宋" w:hint="eastAsia" w:eastAsia="仿宋_GB2312;仿宋"/>
          <w:sz w:val="32"/>
          <w:szCs w:val="32"/>
        </w:rPr>
        <w:t>相关的民商事纠纷进行审查并作出裁决。</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contentc"/>
        <w:snapToGrid w:val="false"/>
        <w:spacing w:lineRule="exact" w:line="560"/>
        <w:rPr>
          <w:rFonts w:ascii="黑体" w:hAnsi="黑体" w:eastAsia="黑体" w:hint="eastAsia"/>
        </w:rPr>
      </w:pPr>
      <w:r>
        <w:rPr>
          <w:rFonts w:ascii="黑体" w:hAnsi="黑体" w:hint="eastAsia" w:eastAsia="黑体"/>
        </w:rPr>
        <w:t>第三章　纠纷解决程序衔接</w:t>
      </w:r>
    </w:p>
    <w:p>
      <w:pPr>
        <w:pStyle w:val="contentc"/>
        <w:snapToGrid w:val="false"/>
        <w:spacing w:lineRule="exact" w:line="560"/>
        <w:rPr>
          <w:rFonts w:ascii="黑体" w:hAnsi="黑体" w:eastAsia="黑体" w:hint="eastAsia"/>
          <w:b/>
        </w:rPr>
      </w:pPr>
      <w:r>
        <w:rPr>
          <w:rFonts w:eastAsia="黑体" w:hint="eastAsia" w:ascii="黑体" w:hAnsi="黑体"/>
          <w:b/>
        </w:rPr>
      </w:r>
    </w:p>
    <w:p>
      <w:pPr>
        <w:pStyle w:val="content"/>
        <w:snapToGrid w:val="false"/>
        <w:spacing w:lineRule="exact" w:line="560"/>
        <w:ind w:firstLineChars="200" w:startChars="0" w:start="0" w:endChars="0" w:end="0"/>
        <w:rPr>
          <w:rFonts w:hint="eastAsia"/>
        </w:rPr>
      </w:pPr>
      <w:r>
        <w:rPr>
          <w:rFonts w:ascii="黑体" w:hAnsi="黑体" w:hint="eastAsia" w:eastAsia="黑体"/>
        </w:rPr>
        <w:t>第三十八条　</w:t>
      </w:r>
      <w:r>
        <w:rPr>
          <w:rFonts w:hint="eastAsia"/>
        </w:rPr>
        <w:t>调解组织在调解过程中，可以邀请相关部门、组织、人大代表、政协委员以及其他人员参与调解。对于疑难复杂、专业性强的纠纷，可以邀请相关领域专家参与调解。</w:t>
      </w:r>
    </w:p>
    <w:p>
      <w:pPr>
        <w:pStyle w:val="content"/>
        <w:snapToGrid w:val="false"/>
        <w:spacing w:lineRule="exact" w:line="560"/>
        <w:ind w:firstLineChars="200" w:startChars="0" w:start="0" w:endChars="0" w:end="0"/>
        <w:rPr>
          <w:rFonts w:hint="eastAsia"/>
        </w:rPr>
      </w:pPr>
      <w:r>
        <w:rPr>
          <w:rFonts w:ascii="黑体" w:hAnsi="黑体" w:hint="eastAsia" w:eastAsia="黑体"/>
        </w:rPr>
        <w:t>第三十九条　</w:t>
      </w:r>
      <w:r>
        <w:rPr>
          <w:rFonts w:hint="eastAsia"/>
        </w:rPr>
        <w:t>行政机关依职权处理具有民事权利义务内容的纠纷时，经双方当事人同意，可以委托、邀请相关调解组织调解。</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cs="宋体" w:hint="eastAsia" w:eastAsia="黑体"/>
          <w:kern w:val="0"/>
          <w:sz w:val="32"/>
          <w:szCs w:val="32"/>
        </w:rPr>
        <w:t>第四十条　</w:t>
      </w:r>
      <w:r>
        <w:rPr>
          <w:rFonts w:ascii="仿宋_GB2312;仿宋" w:hAnsi="仿宋_GB2312;仿宋" w:hint="eastAsia" w:eastAsia="仿宋_GB2312;仿宋"/>
          <w:color w:val="000000"/>
          <w:sz w:val="32"/>
          <w:szCs w:val="32"/>
        </w:rPr>
        <w:t>公安机关对可以调解的民间纠纷、治安案件和轻微刑事案件，经双方当事人同意，可以移送或者委托人民调解组织调解。</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公安机关依法调解治安案件和轻微刑事案件，可以邀请人民调解员参加。</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人民调解组织调解民间纠纷，可以邀请公安机关参加。</w:t>
      </w:r>
    </w:p>
    <w:p>
      <w:pPr>
        <w:pStyle w:val="content"/>
        <w:snapToGrid w:val="false"/>
        <w:spacing w:lineRule="exact" w:line="560"/>
        <w:ind w:firstLine="600" w:end="0"/>
        <w:rPr>
          <w:rFonts w:hint="eastAsia"/>
        </w:rPr>
      </w:pPr>
      <w:r>
        <w:rPr>
          <w:rFonts w:ascii="黑体" w:hAnsi="黑体" w:hint="eastAsia" w:eastAsia="黑体"/>
        </w:rPr>
        <w:t>第四十一条</w:t>
      </w:r>
      <w:r>
        <w:rPr>
          <w:rFonts w:hint="eastAsia"/>
        </w:rPr>
        <w:t>　人民检察院在办理轻微刑事案件、民事检察案件、行政赔偿检察案件过程中，经当事人同意，可以邀请相关调解组织共同促进当事人达成和解。</w:t>
      </w:r>
    </w:p>
    <w:p>
      <w:pPr>
        <w:pStyle w:val="content"/>
        <w:snapToGrid w:val="false"/>
        <w:spacing w:lineRule="exact" w:line="560"/>
        <w:ind w:firstLine="600" w:end="0"/>
        <w:rPr>
          <w:rFonts w:hint="eastAsia"/>
        </w:rPr>
      </w:pPr>
      <w:r>
        <w:rPr>
          <w:rFonts w:ascii="黑体" w:hAnsi="黑体" w:hint="eastAsia" w:eastAsia="黑体"/>
        </w:rPr>
        <w:t>第四十二条　</w:t>
      </w:r>
      <w:r>
        <w:rPr>
          <w:rFonts w:hint="eastAsia"/>
        </w:rPr>
        <w:t>人民法院对已经立案的民商事案件，经双方当事人同意，可以委托行政机关、调解组织调解，或者按照有关规定邀请符合条件的组织或者人员与审判组织共同调解。</w:t>
      </w:r>
    </w:p>
    <w:p>
      <w:pPr>
        <w:pStyle w:val="content"/>
        <w:snapToGrid w:val="false"/>
        <w:spacing w:lineRule="exact" w:line="560"/>
        <w:ind w:firstLine="600" w:end="0"/>
        <w:rPr>
          <w:rFonts w:hint="eastAsia"/>
        </w:rPr>
      </w:pPr>
      <w:r>
        <w:rPr>
          <w:rFonts w:ascii="黑体" w:hAnsi="黑体" w:hint="eastAsia" w:eastAsia="黑体"/>
        </w:rPr>
        <w:t>第四十三条　</w:t>
      </w:r>
      <w:r>
        <w:rPr>
          <w:rFonts w:hint="eastAsia"/>
        </w:rPr>
        <w:t>和解协议、调解协议具有给付内容的，双方当事人可以共同向公证机构申请办理具有强制执行效力的债权文书公证。</w:t>
      </w:r>
    </w:p>
    <w:p>
      <w:pPr>
        <w:pStyle w:val="content"/>
        <w:snapToGrid w:val="false"/>
        <w:spacing w:lineRule="exact" w:line="560"/>
        <w:ind w:firstLineChars="200" w:startChars="0" w:start="0" w:endChars="0" w:end="0"/>
        <w:rPr>
          <w:rFonts w:hint="eastAsia"/>
        </w:rPr>
      </w:pPr>
      <w:r>
        <w:rPr>
          <w:rFonts w:hint="eastAsia"/>
        </w:rPr>
        <w:t>对前款规定的</w:t>
      </w:r>
      <w:r>
        <w:rPr>
          <w:rFonts w:cs="Arial" w:hint="eastAsia"/>
          <w:color w:val="000000"/>
        </w:rPr>
        <w:t>公证债权文书，</w:t>
      </w:r>
      <w:r>
        <w:rPr>
          <w:rFonts w:hint="eastAsia"/>
          <w:color w:val="000000"/>
        </w:rPr>
        <w:t>一方当事人不履行的，</w:t>
      </w:r>
      <w:r>
        <w:rPr>
          <w:rFonts w:hint="eastAsia"/>
        </w:rPr>
        <w:t>对方当事人可以</w:t>
      </w:r>
      <w:r>
        <w:rPr>
          <w:rFonts w:cs="Arial" w:hint="eastAsia"/>
          <w:color w:val="000000"/>
        </w:rPr>
        <w:t>向有管辖权的</w:t>
      </w:r>
      <w:r>
        <w:rPr>
          <w:rFonts w:hint="eastAsia"/>
        </w:rPr>
        <w:t>人民法院申请执行。</w:t>
      </w:r>
    </w:p>
    <w:p>
      <w:pPr>
        <w:pStyle w:val="content"/>
        <w:snapToGrid w:val="false"/>
        <w:spacing w:lineRule="exact" w:line="560"/>
        <w:ind w:firstLineChars="200" w:startChars="0" w:start="0" w:endChars="0" w:end="0"/>
        <w:rPr>
          <w:rFonts w:hint="eastAsia"/>
        </w:rPr>
      </w:pPr>
      <w:r>
        <w:rPr>
          <w:rFonts w:ascii="黑体" w:hAnsi="黑体" w:hint="eastAsia" w:eastAsia="黑体"/>
        </w:rPr>
        <w:t>第四十四条</w:t>
      </w:r>
      <w:r>
        <w:rPr>
          <w:rFonts w:hint="eastAsia"/>
          <w:b/>
        </w:rPr>
        <w:t>　</w:t>
      </w:r>
      <w:r>
        <w:rPr>
          <w:rFonts w:hint="eastAsia"/>
        </w:rPr>
        <w:t>经济纠纷经和解、调解达成的协议，当事人可以根据协议中约定的仲裁条款，或者达成的仲裁协议，向选定的商事仲裁机构申请确认其效力，制作调解书或者裁决书。</w:t>
      </w:r>
    </w:p>
    <w:p>
      <w:pPr>
        <w:pStyle w:val="content"/>
        <w:snapToGrid w:val="false"/>
        <w:spacing w:lineRule="exact" w:line="560"/>
        <w:ind w:firstLineChars="200" w:startChars="0" w:start="0" w:endChars="0" w:end="0"/>
        <w:rPr>
          <w:rFonts w:hint="eastAsia"/>
        </w:rPr>
      </w:pPr>
      <w:r>
        <w:rPr>
          <w:rFonts w:hint="eastAsia"/>
        </w:rPr>
        <w:t>劳动争议、农村土地承包经营纠纷经调解组织调解达成的协议，双方当事人可以共同向有管辖权的劳动争议仲裁机构、农村土地承包仲裁机构申请确认其效力，制作调解书。</w:t>
      </w:r>
    </w:p>
    <w:p>
      <w:pPr>
        <w:pStyle w:val="content"/>
        <w:snapToGrid w:val="false"/>
        <w:spacing w:lineRule="exact" w:line="560"/>
        <w:ind w:firstLineChars="200" w:startChars="0" w:start="0" w:endChars="0" w:end="0"/>
        <w:rPr>
          <w:rFonts w:hint="eastAsia"/>
        </w:rPr>
      </w:pPr>
      <w:r>
        <w:rPr>
          <w:rFonts w:hint="eastAsia"/>
        </w:rPr>
        <w:t>对仲裁机构制作的发生法律效力的调解书、裁决书，一方当事人不履行的，对方当事人可以向有管辖权的人民法院申请执行。</w:t>
      </w:r>
    </w:p>
    <w:p>
      <w:pPr>
        <w:pStyle w:val="content"/>
        <w:snapToGrid w:val="false"/>
        <w:spacing w:lineRule="exact" w:line="560"/>
        <w:ind w:firstLineChars="200" w:startChars="0" w:start="0" w:endChars="0" w:end="0"/>
        <w:rPr>
          <w:rFonts w:hint="eastAsia"/>
        </w:rPr>
      </w:pPr>
      <w:r>
        <w:rPr>
          <w:rFonts w:ascii="黑体" w:hAnsi="黑体" w:hint="eastAsia" w:eastAsia="黑体"/>
        </w:rPr>
        <w:t>第四十五条</w:t>
      </w:r>
      <w:r>
        <w:rPr>
          <w:rFonts w:hint="eastAsia"/>
          <w:b/>
        </w:rPr>
        <w:t>　</w:t>
      </w:r>
      <w:r>
        <w:rPr>
          <w:rFonts w:hint="eastAsia"/>
        </w:rPr>
        <w:t>经行政机关、调解组织调解达成的协议，双方当事人可以共同向行政机关、调解组织所在地基层人民法院申请确认其效力。人民法院裁定调解协议有效后，一方当事人不履行的，对方当事人可以向人民法院申请执行。</w:t>
      </w:r>
    </w:p>
    <w:p>
      <w:pPr>
        <w:pStyle w:val="content"/>
        <w:snapToGrid w:val="false"/>
        <w:spacing w:lineRule="exact" w:line="560"/>
        <w:ind w:firstLineChars="200" w:startChars="0" w:start="0" w:endChars="0" w:end="0"/>
        <w:rPr>
          <w:rFonts w:hint="eastAsia"/>
        </w:rPr>
      </w:pPr>
      <w:r>
        <w:rPr>
          <w:rFonts w:hint="eastAsia"/>
        </w:rPr>
        <w:t>双方当事人可以共同委托调解组织向人民法院申请司法确认。</w:t>
      </w:r>
    </w:p>
    <w:p>
      <w:pPr>
        <w:pStyle w:val="content"/>
        <w:snapToGrid w:val="false"/>
        <w:spacing w:lineRule="exact" w:line="560"/>
        <w:ind w:firstLineChars="200" w:startChars="0" w:start="0" w:endChars="0" w:end="0"/>
        <w:rPr>
          <w:rFonts w:hint="eastAsia"/>
        </w:rPr>
      </w:pPr>
      <w:r>
        <w:rPr>
          <w:rFonts w:ascii="黑体" w:hAnsi="黑体" w:hint="eastAsia" w:eastAsia="黑体"/>
        </w:rPr>
        <w:t>第四十六条</w:t>
      </w:r>
      <w:r>
        <w:rPr>
          <w:rFonts w:hint="eastAsia"/>
        </w:rPr>
        <w:t>　以金钱或者有价证券给付为内容的和解协议、调解协议，当事人可以向有管辖权的基层人民法院申请支付令。人民法院应当依法发出支付令。债务人逾期不履行支付令的，债权人可以向人民法院申请执行。</w:t>
      </w:r>
    </w:p>
    <w:p>
      <w:pPr>
        <w:pStyle w:val="content"/>
        <w:snapToGrid w:val="false"/>
        <w:spacing w:lineRule="exact" w:line="560"/>
        <w:ind w:firstLineChars="200" w:startChars="0" w:start="0" w:endChars="0" w:end="0"/>
        <w:rPr>
          <w:rFonts w:hint="eastAsia"/>
        </w:rPr>
      </w:pPr>
      <w:r>
        <w:rPr>
          <w:rFonts w:ascii="黑体" w:hAnsi="黑体" w:hint="eastAsia" w:eastAsia="黑体"/>
        </w:rPr>
        <w:t>第四十七条　</w:t>
      </w:r>
      <w:r>
        <w:rPr>
          <w:rFonts w:hint="eastAsia"/>
        </w:rPr>
        <w:t>对本条例第四十三条、第四十四条、第四十五条、第四十六条所列的执行申请，受申请的人民法院应当依法执行。</w:t>
      </w:r>
    </w:p>
    <w:p>
      <w:pPr>
        <w:pStyle w:val="Normal"/>
        <w:snapToGrid w:val="false"/>
        <w:spacing w:lineRule="exact" w:line="560"/>
        <w:ind w:firstLineChars="195" w:startChars="0" w:start="0" w:endChars="0" w:end="0"/>
        <w:rPr>
          <w:rFonts w:ascii="仿宋_GB2312;仿宋" w:hAnsi="仿宋_GB2312;仿宋" w:eastAsia="仿宋_GB2312;仿宋" w:hint="eastAsia"/>
          <w:color w:val="008080"/>
          <w:sz w:val="32"/>
          <w:szCs w:val="32"/>
        </w:rPr>
      </w:pPr>
      <w:r>
        <w:rPr>
          <w:rFonts w:eastAsia="仿宋_GB2312;仿宋" w:hint="eastAsia" w:ascii="仿宋_GB2312;仿宋" w:hAnsi="仿宋_GB2312;仿宋"/>
          <w:color w:val="008080"/>
          <w:sz w:val="32"/>
          <w:szCs w:val="32"/>
        </w:rPr>
      </w:r>
    </w:p>
    <w:p>
      <w:pPr>
        <w:pStyle w:val="contentc"/>
        <w:snapToGrid w:val="false"/>
        <w:spacing w:lineRule="exact" w:line="560"/>
        <w:rPr>
          <w:rFonts w:ascii="黑体" w:hAnsi="黑体" w:eastAsia="黑体" w:hint="eastAsia"/>
        </w:rPr>
      </w:pPr>
      <w:r>
        <w:rPr>
          <w:rFonts w:ascii="黑体" w:hAnsi="黑体" w:hint="eastAsia" w:eastAsia="黑体"/>
        </w:rPr>
        <w:t>第四章　纠纷解决组织建设</w:t>
      </w:r>
    </w:p>
    <w:p>
      <w:pPr>
        <w:pStyle w:val="contentc"/>
        <w:snapToGrid w:val="false"/>
        <w:spacing w:lineRule="exact" w:line="560"/>
        <w:rPr>
          <w:rFonts w:ascii="黑体" w:hAnsi="黑体" w:eastAsia="黑体" w:hint="eastAsia"/>
          <w:b/>
        </w:rPr>
      </w:pPr>
      <w:r>
        <w:rPr>
          <w:rFonts w:eastAsia="黑体" w:hint="eastAsia" w:ascii="黑体" w:hAnsi="黑体"/>
          <w:b/>
        </w:rPr>
      </w:r>
    </w:p>
    <w:p>
      <w:pPr>
        <w:pStyle w:val="content"/>
        <w:snapToGrid w:val="false"/>
        <w:spacing w:lineRule="exact" w:line="560"/>
        <w:ind w:firstLineChars="198" w:startChars="0" w:start="0" w:endChars="0" w:end="0"/>
        <w:rPr>
          <w:rFonts w:hint="eastAsia"/>
        </w:rPr>
      </w:pPr>
      <w:r>
        <w:rPr>
          <w:rFonts w:ascii="黑体" w:hAnsi="黑体" w:hint="eastAsia" w:eastAsia="黑体"/>
        </w:rPr>
        <w:t>第四十八条</w:t>
      </w:r>
      <w:r>
        <w:rPr>
          <w:rFonts w:hint="eastAsia"/>
        </w:rPr>
        <w:t>　调解组织包括社会调解组织、行政调解组织、法院附设调解组织以及其他具有调解职能的组织。</w:t>
      </w:r>
    </w:p>
    <w:p>
      <w:pPr>
        <w:pStyle w:val="content"/>
        <w:snapToGrid w:val="false"/>
        <w:spacing w:lineRule="exact" w:line="560"/>
        <w:ind w:firstLineChars="198" w:startChars="0" w:start="0" w:endChars="0" w:end="0"/>
        <w:rPr>
          <w:rFonts w:hint="eastAsia"/>
        </w:rPr>
      </w:pPr>
      <w:r>
        <w:rPr>
          <w:rFonts w:ascii="黑体" w:hAnsi="黑体" w:hint="eastAsia" w:eastAsia="黑体"/>
        </w:rPr>
        <w:t>第四十九条</w:t>
      </w:r>
      <w:r>
        <w:rPr>
          <w:rFonts w:hint="eastAsia"/>
        </w:rPr>
        <w:t>　鼓励成立调解员协会。调解员协会可以吸收个人和单位会员。</w:t>
      </w:r>
    </w:p>
    <w:p>
      <w:pPr>
        <w:pStyle w:val="content"/>
        <w:snapToGrid w:val="false"/>
        <w:spacing w:lineRule="exact" w:line="560"/>
        <w:ind w:firstLineChars="198" w:startChars="0" w:start="0" w:endChars="0" w:end="0"/>
        <w:rPr>
          <w:rFonts w:hint="eastAsia"/>
        </w:rPr>
      </w:pPr>
      <w:r>
        <w:rPr>
          <w:rFonts w:hint="eastAsia"/>
        </w:rPr>
        <w:t>调解员协会应当实行行业自律管理，维护调解员的合法权益。</w:t>
      </w:r>
    </w:p>
    <w:p>
      <w:pPr>
        <w:pStyle w:val="content"/>
        <w:snapToGrid w:val="false"/>
        <w:spacing w:lineRule="exact" w:line="560"/>
        <w:ind w:firstLine="660" w:end="0"/>
        <w:rPr>
          <w:rFonts w:hint="eastAsia"/>
        </w:rPr>
      </w:pPr>
      <w:r>
        <w:rPr>
          <w:rFonts w:ascii="黑体" w:hAnsi="黑体" w:hint="eastAsia" w:eastAsia="黑体"/>
        </w:rPr>
        <w:t>第五十条</w:t>
      </w:r>
      <w:r>
        <w:rPr>
          <w:rFonts w:hint="eastAsia"/>
        </w:rPr>
        <w:t>　市、区司法行政部门应当加强对人民调解工作的指导，推进人民调解组织规范化、网络化建设，发挥人民调解及时就地解决民间纠纷、维护社会稳定的功能。</w:t>
      </w:r>
    </w:p>
    <w:p>
      <w:pPr>
        <w:pStyle w:val="content"/>
        <w:snapToGrid w:val="false"/>
        <w:spacing w:lineRule="exact" w:line="560"/>
        <w:ind w:firstLine="660" w:end="0"/>
        <w:rPr>
          <w:rFonts w:cs="仿宋_GB2312;仿宋" w:hint="eastAsia"/>
        </w:rPr>
      </w:pPr>
      <w:r>
        <w:rPr>
          <w:rFonts w:hint="eastAsia"/>
        </w:rPr>
        <w:t>村（居）民委员会、</w:t>
      </w:r>
      <w:r>
        <w:rPr>
          <w:rFonts w:cs="仿宋_GB2312;仿宋" w:hint="eastAsia"/>
        </w:rPr>
        <w:t>镇人民政府（街道）应当设立人民调解组织，</w:t>
      </w:r>
      <w:r>
        <w:rPr>
          <w:rFonts w:hint="eastAsia"/>
        </w:rPr>
        <w:t>企业事业单位根据需要设立人民调解组织。</w:t>
      </w:r>
      <w:r>
        <w:rPr>
          <w:rFonts w:cs="仿宋_GB2312;仿宋" w:hint="eastAsia"/>
        </w:rPr>
        <w:t>镇人民政府（街道）人民调解组织应当聘用两名以上专职调解员。</w:t>
      </w:r>
    </w:p>
    <w:p>
      <w:pPr>
        <w:pStyle w:val="content"/>
        <w:snapToGrid w:val="false"/>
        <w:spacing w:lineRule="exact" w:line="560"/>
        <w:ind w:firstLineChars="200" w:startChars="0" w:start="0" w:endChars="0" w:end="0"/>
        <w:rPr>
          <w:rFonts w:cs="仿宋_GB2312;仿宋" w:hint="eastAsia"/>
        </w:rPr>
      </w:pPr>
      <w:r>
        <w:rPr>
          <w:rFonts w:ascii="黑体" w:hAnsi="黑体" w:hint="eastAsia" w:eastAsia="黑体"/>
        </w:rPr>
        <w:t>第五十一条　</w:t>
      </w:r>
      <w:r>
        <w:rPr>
          <w:rFonts w:cs="仿宋_GB2312;仿宋" w:hint="eastAsia"/>
        </w:rPr>
        <w:t>鼓励和支持调解员、法律专家、法律工作者以及其他专业人员设立调解工作室。调解工作室可以起字号。</w:t>
      </w:r>
    </w:p>
    <w:p>
      <w:pPr>
        <w:pStyle w:val="content"/>
        <w:snapToGrid w:val="false"/>
        <w:spacing w:lineRule="exact" w:line="560"/>
        <w:ind w:firstLineChars="200" w:startChars="0" w:start="0" w:endChars="0" w:end="0"/>
        <w:rPr>
          <w:rFonts w:cs="仿宋_GB2312;仿宋" w:hint="eastAsia"/>
        </w:rPr>
      </w:pPr>
      <w:r>
        <w:rPr>
          <w:rFonts w:ascii="黑体" w:hAnsi="黑体" w:hint="eastAsia" w:eastAsia="黑体"/>
        </w:rPr>
        <w:t>第五十二条　</w:t>
      </w:r>
      <w:r>
        <w:rPr>
          <w:rFonts w:hint="eastAsia"/>
        </w:rPr>
        <w:t>鼓励</w:t>
      </w:r>
      <w:r>
        <w:rPr>
          <w:rFonts w:cs="仿宋_GB2312;仿宋" w:hint="eastAsia"/>
        </w:rPr>
        <w:t>行业主管部门、社会团体和组织设立行业、专业调解组织，调解涉及行业性、专业性以及特定类型的民商事纠纷。</w:t>
      </w:r>
    </w:p>
    <w:p>
      <w:pPr>
        <w:pStyle w:val="content"/>
        <w:snapToGrid w:val="false"/>
        <w:spacing w:lineRule="exact" w:line="560"/>
        <w:ind w:firstLineChars="200" w:startChars="0" w:start="0" w:endChars="0" w:end="0"/>
        <w:rPr>
          <w:rFonts w:cs="仿宋_GB2312;仿宋" w:hint="eastAsia"/>
        </w:rPr>
      </w:pPr>
      <w:r>
        <w:rPr>
          <w:rFonts w:cs="仿宋_GB2312;仿宋" w:hint="eastAsia"/>
        </w:rPr>
        <w:t>鼓励行业协会、商会发挥行业自治和行业服务功能，调解成员之间以及成员与其他主体之间的民商事纠纷。</w:t>
      </w:r>
    </w:p>
    <w:p>
      <w:pPr>
        <w:pStyle w:val="content"/>
        <w:snapToGrid w:val="false"/>
        <w:spacing w:lineRule="exact" w:line="560"/>
        <w:ind w:firstLineChars="200" w:startChars="0" w:start="0" w:endChars="0" w:end="0"/>
        <w:rPr>
          <w:rFonts w:hint="eastAsia"/>
        </w:rPr>
      </w:pPr>
      <w:r>
        <w:rPr>
          <w:rFonts w:ascii="黑体" w:hAnsi="黑体" w:hint="eastAsia" w:eastAsia="黑体"/>
        </w:rPr>
        <w:t>第五十三条　</w:t>
      </w:r>
      <w:r>
        <w:rPr>
          <w:rFonts w:hint="eastAsia"/>
        </w:rPr>
        <w:t>市、区人力资源和社会保障部门应当加强对劳动争议调解工作的指导，会同工会、企业方面代表，建立协调劳动关系三方机制，加强劳动争议调解组织建设。</w:t>
      </w:r>
    </w:p>
    <w:p>
      <w:pPr>
        <w:pStyle w:val="content"/>
        <w:snapToGrid w:val="false"/>
        <w:spacing w:lineRule="exact" w:line="560"/>
        <w:ind w:firstLineChars="200" w:startChars="0" w:start="0" w:endChars="0" w:end="0"/>
        <w:rPr>
          <w:rFonts w:hint="eastAsia"/>
        </w:rPr>
      </w:pPr>
      <w:r>
        <w:rPr>
          <w:rFonts w:hint="eastAsia"/>
        </w:rPr>
        <w:t>行业工会与行业协会可以设立行业性劳动争议调解组织，根据行业特点开展劳动争议调解工作。</w:t>
      </w:r>
    </w:p>
    <w:p>
      <w:pPr>
        <w:pStyle w:val="content"/>
        <w:snapToGrid w:val="false"/>
        <w:spacing w:lineRule="exact" w:line="560"/>
        <w:ind w:firstLineChars="200" w:startChars="0" w:start="0" w:endChars="0" w:end="0"/>
        <w:rPr>
          <w:rFonts w:cs="仿宋_GB2312;仿宋" w:hint="eastAsia"/>
        </w:rPr>
      </w:pPr>
      <w:r>
        <w:rPr>
          <w:rFonts w:ascii="黑体" w:hAnsi="黑体" w:hint="eastAsia" w:eastAsia="黑体"/>
        </w:rPr>
        <w:t>第五十四条　</w:t>
      </w:r>
      <w:r>
        <w:rPr>
          <w:rFonts w:cs="仿宋_GB2312;仿宋" w:hint="eastAsia"/>
        </w:rPr>
        <w:t>商会、商事仲裁机构或者专业机构可以依法设立商事调解组织，提供有偿的商事纠纷解决服务。</w:t>
      </w:r>
    </w:p>
    <w:p>
      <w:pPr>
        <w:pStyle w:val="content"/>
        <w:snapToGrid w:val="false"/>
        <w:spacing w:lineRule="exact" w:line="560"/>
        <w:ind w:firstLineChars="200" w:startChars="0" w:start="0" w:endChars="0" w:end="0"/>
        <w:rPr>
          <w:rFonts w:cs="仿宋_GB2312;仿宋" w:hint="eastAsia"/>
        </w:rPr>
      </w:pPr>
      <w:r>
        <w:rPr>
          <w:rFonts w:cs="仿宋_GB2312;仿宋" w:hint="eastAsia"/>
        </w:rPr>
        <w:t>商事调解组织应当制定机构章程、调解规则。</w:t>
      </w:r>
    </w:p>
    <w:p>
      <w:pPr>
        <w:pStyle w:val="content"/>
        <w:snapToGrid w:val="false"/>
        <w:spacing w:lineRule="exact" w:line="560"/>
        <w:ind w:firstLineChars="200" w:startChars="0" w:start="0" w:endChars="0" w:end="0"/>
        <w:rPr>
          <w:rFonts w:cs="仿宋_GB2312;仿宋" w:hint="eastAsia"/>
        </w:rPr>
      </w:pPr>
      <w:r>
        <w:rPr>
          <w:rFonts w:ascii="黑体" w:hAnsi="黑体" w:hint="eastAsia" w:eastAsia="黑体"/>
        </w:rPr>
        <w:t>第五十五条　</w:t>
      </w:r>
      <w:r>
        <w:rPr>
          <w:rFonts w:cs="仿宋_GB2312;仿宋" w:hint="eastAsia"/>
        </w:rPr>
        <w:t>依法成立的咨询、评估、鉴定、在线调解等机构，参与纠纷解决服务的，可以收取费用。</w:t>
      </w:r>
    </w:p>
    <w:p>
      <w:pPr>
        <w:pStyle w:val="content"/>
        <w:snapToGrid w:val="false"/>
        <w:spacing w:lineRule="exact" w:line="560"/>
        <w:ind w:firstLineChars="200" w:startChars="0" w:start="0" w:endChars="0" w:end="0"/>
        <w:rPr>
          <w:rFonts w:cs="仿宋_GB2312;仿宋" w:hint="eastAsia"/>
        </w:rPr>
      </w:pPr>
      <w:r>
        <w:rPr>
          <w:rFonts w:cs="仿宋_GB2312;仿宋" w:hint="eastAsia"/>
        </w:rPr>
        <w:t>鼓励律师协会、律师事务所建立律师调解员队伍，提供调解服务。</w:t>
      </w:r>
    </w:p>
    <w:p>
      <w:pPr>
        <w:pStyle w:val="content"/>
        <w:snapToGrid w:val="false"/>
        <w:spacing w:lineRule="exact" w:line="560"/>
        <w:ind w:firstLine="660" w:end="0"/>
        <w:rPr>
          <w:rFonts w:cs="仿宋_GB2312;仿宋" w:hint="eastAsia"/>
        </w:rPr>
      </w:pPr>
      <w:r>
        <w:rPr>
          <w:rFonts w:ascii="黑体" w:hAnsi="黑体" w:hint="eastAsia" w:eastAsia="黑体"/>
        </w:rPr>
        <w:t>第五十六条　</w:t>
      </w:r>
      <w:r>
        <w:rPr>
          <w:rFonts w:cs="仿宋_GB2312;仿宋" w:hint="eastAsia"/>
        </w:rPr>
        <w:t>市、区政府法制机构应当加强对行政调解工作指导，规范行政调解程序。</w:t>
      </w:r>
    </w:p>
    <w:p>
      <w:pPr>
        <w:pStyle w:val="content"/>
        <w:snapToGrid w:val="false"/>
        <w:spacing w:lineRule="exact" w:line="560"/>
        <w:ind w:firstLine="660" w:end="0"/>
        <w:rPr>
          <w:rFonts w:cs="仿宋_GB2312;仿宋" w:hint="eastAsia"/>
        </w:rPr>
      </w:pPr>
      <w:r>
        <w:rPr>
          <w:rFonts w:cs="仿宋_GB2312;仿宋" w:hint="eastAsia"/>
        </w:rPr>
        <w:t>行政管理领域纠纷量大的部门，应当明确一个内设机构受理纠纷，或者设立专门调解机构，组织协调本部门的行政调解工作。</w:t>
      </w:r>
    </w:p>
    <w:p>
      <w:pPr>
        <w:pStyle w:val="content"/>
        <w:snapToGrid w:val="false"/>
        <w:spacing w:lineRule="exact" w:line="560"/>
        <w:ind w:firstLineChars="196" w:startChars="0" w:start="0" w:endChars="0" w:end="0"/>
        <w:rPr>
          <w:rFonts w:hint="eastAsia"/>
        </w:rPr>
      </w:pPr>
      <w:r>
        <w:rPr>
          <w:rFonts w:ascii="黑体" w:hAnsi="黑体" w:hint="eastAsia" w:eastAsia="黑体"/>
        </w:rPr>
        <w:t>第五十七条　</w:t>
      </w:r>
      <w:r>
        <w:rPr>
          <w:rFonts w:hint="eastAsia"/>
        </w:rPr>
        <w:t>市、区人民法院建立诉讼与非诉讼衔接机构，建立专职调解员、特邀调解员队伍，做好纠纷解决程序引导、诉讼与非诉讼相衔接、调解协议司法确认等工作。</w:t>
      </w:r>
    </w:p>
    <w:p>
      <w:pPr>
        <w:pStyle w:val="content"/>
        <w:snapToGrid w:val="false"/>
        <w:spacing w:lineRule="exact" w:line="560"/>
        <w:ind w:firstLineChars="200" w:startChars="0" w:start="0" w:endChars="0" w:end="0"/>
        <w:rPr>
          <w:rFonts w:hint="eastAsia"/>
        </w:rPr>
      </w:pPr>
      <w:r>
        <w:rPr>
          <w:rFonts w:hint="eastAsia"/>
        </w:rPr>
        <w:t>相关调解组织可以在人民法院诉讼与非诉讼衔接机构设立调解工作室，办理人民法院委派或者委托调解的案件。</w:t>
      </w:r>
    </w:p>
    <w:p>
      <w:pPr>
        <w:pStyle w:val="content"/>
        <w:snapToGrid w:val="false"/>
        <w:spacing w:lineRule="exact" w:line="560"/>
        <w:ind w:firstLineChars="200" w:startChars="0" w:start="0" w:endChars="0" w:end="0"/>
        <w:rPr>
          <w:rFonts w:hint="eastAsia"/>
        </w:rPr>
      </w:pPr>
      <w:r>
        <w:rPr>
          <w:rFonts w:ascii="黑体" w:hAnsi="黑体" w:hint="eastAsia" w:eastAsia="黑体"/>
        </w:rPr>
        <w:t>第五十八条　</w:t>
      </w:r>
      <w:r>
        <w:rPr>
          <w:rFonts w:hint="eastAsia"/>
        </w:rPr>
        <w:t>鼓励调解组织和调解员通过互联网等新型沟通方式调解纠纷，面向社会提供专业调解服务。</w:t>
      </w:r>
    </w:p>
    <w:p>
      <w:pPr>
        <w:pStyle w:val="Normal"/>
        <w:snapToGrid w:val="false"/>
        <w:spacing w:lineRule="exact" w:line="560"/>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鼓励调解组织和调解员探索建立网络消费以及其他新兴领域矛盾纠纷化解工作机制，及时开展网络消费以及其他新兴领域纠纷调解工作。</w:t>
      </w:r>
    </w:p>
    <w:p>
      <w:pPr>
        <w:pStyle w:val="content"/>
        <w:snapToGrid w:val="false"/>
        <w:spacing w:lineRule="exact" w:line="560"/>
        <w:ind w:firstLine="660" w:end="0"/>
        <w:rPr>
          <w:rFonts w:hint="eastAsia"/>
        </w:rPr>
      </w:pPr>
      <w:r>
        <w:rPr>
          <w:rFonts w:ascii="黑体" w:hAnsi="黑体" w:hint="eastAsia" w:eastAsia="黑体"/>
        </w:rPr>
        <w:t>第五十九条　</w:t>
      </w:r>
      <w:r>
        <w:rPr>
          <w:rFonts w:hint="eastAsia"/>
        </w:rPr>
        <w:t>鼓励、支持商事仲裁、劳动争议仲裁、人事争议仲裁和农村土地承包纠纷仲裁等仲裁机构发展，规范仲裁程序和运作机制。</w:t>
      </w:r>
    </w:p>
    <w:p>
      <w:pPr>
        <w:pStyle w:val="content"/>
        <w:snapToGrid w:val="false"/>
        <w:spacing w:lineRule="exact" w:line="560"/>
        <w:ind w:firstLineChars="200" w:startChars="0" w:start="0" w:endChars="0" w:end="0"/>
        <w:rPr>
          <w:rFonts w:hint="eastAsia"/>
        </w:rPr>
      </w:pPr>
      <w:r>
        <w:rPr>
          <w:rFonts w:ascii="黑体" w:hAnsi="黑体" w:hint="eastAsia" w:eastAsia="黑体"/>
        </w:rPr>
        <w:t>第六十条　</w:t>
      </w:r>
      <w:r>
        <w:rPr>
          <w:rFonts w:hint="eastAsia"/>
        </w:rPr>
        <w:t>市、区人民政府应当加强一站式纠纷解决服务平台建设，提供服务保障，促进规范管理。</w:t>
      </w:r>
    </w:p>
    <w:p>
      <w:pPr>
        <w:pStyle w:val="content"/>
        <w:snapToGrid w:val="false"/>
        <w:spacing w:lineRule="exact" w:line="560"/>
        <w:ind w:firstLineChars="200" w:startChars="0" w:start="0" w:endChars="0" w:end="0"/>
        <w:rPr>
          <w:rFonts w:hint="eastAsia"/>
        </w:rPr>
      </w:pPr>
      <w:r>
        <w:rPr>
          <w:rFonts w:hint="eastAsia"/>
        </w:rPr>
        <w:t>镇人民政府（街道）应当设立一站式纠纷解决服务平台。</w:t>
      </w:r>
    </w:p>
    <w:p>
      <w:pPr>
        <w:pStyle w:val="content"/>
        <w:snapToGrid w:val="false"/>
        <w:spacing w:lineRule="exact" w:line="560"/>
        <w:ind w:firstLineChars="200" w:startChars="0" w:start="0" w:endChars="0" w:end="0"/>
        <w:rPr>
          <w:rFonts w:hint="eastAsia"/>
        </w:rPr>
      </w:pPr>
      <w:r>
        <w:rPr>
          <w:rFonts w:ascii="黑体" w:hAnsi="黑体" w:hint="eastAsia" w:eastAsia="黑体"/>
        </w:rPr>
        <w:t>第六十一条　</w:t>
      </w:r>
      <w:r>
        <w:rPr>
          <w:rFonts w:hint="eastAsia"/>
        </w:rPr>
        <w:t>各区应当设立道路交通事故调处中心，整合行政、司法、调解、保险、鉴定等机构的资源，提供一站式纠纷解决服务。</w:t>
      </w:r>
    </w:p>
    <w:p>
      <w:pPr>
        <w:pStyle w:val="content"/>
        <w:snapToGrid w:val="false"/>
        <w:spacing w:lineRule="exact" w:line="560"/>
        <w:ind w:firstLineChars="200" w:startChars="0" w:start="0" w:endChars="0" w:end="0"/>
        <w:rPr>
          <w:rFonts w:hint="eastAsia"/>
        </w:rPr>
      </w:pPr>
      <w:r>
        <w:rPr>
          <w:rFonts w:hint="eastAsia"/>
        </w:rPr>
        <w:t>市、区人民政府有关部门、人民法院应当在医疗卫生、劳动争议、物业管理、消费者权益保护、环境保护以及其他纠纷集中的领域，推进建立一站式纠纷解决服务平台。</w:t>
      </w:r>
    </w:p>
    <w:p>
      <w:pPr>
        <w:pStyle w:val="content"/>
        <w:snapToGrid w:val="false"/>
        <w:spacing w:lineRule="exact" w:line="560"/>
        <w:rPr>
          <w:rFonts w:hint="eastAsia"/>
        </w:rPr>
      </w:pPr>
      <w:r>
        <w:rPr>
          <w:rFonts w:hint="eastAsia"/>
        </w:rPr>
      </w:r>
    </w:p>
    <w:p>
      <w:pPr>
        <w:pStyle w:val="content"/>
        <w:snapToGrid w:val="false"/>
        <w:spacing w:lineRule="exact" w:line="560"/>
        <w:jc w:val="center"/>
        <w:rPr>
          <w:rFonts w:ascii="黑体" w:hAnsi="黑体" w:eastAsia="黑体" w:hint="eastAsia"/>
        </w:rPr>
      </w:pPr>
      <w:r>
        <w:rPr>
          <w:rFonts w:ascii="黑体" w:hAnsi="黑体" w:hint="eastAsia" w:eastAsia="黑体"/>
        </w:rPr>
        <w:t>第五章　纠纷解决保障措施</w:t>
      </w:r>
    </w:p>
    <w:p>
      <w:pPr>
        <w:pStyle w:val="content"/>
        <w:snapToGrid w:val="false"/>
        <w:spacing w:lineRule="exact" w:line="560"/>
        <w:jc w:val="center"/>
        <w:rPr>
          <w:rFonts w:ascii="黑体" w:hAnsi="黑体" w:eastAsia="黑体" w:hint="eastAsia"/>
          <w:b/>
        </w:rPr>
      </w:pPr>
      <w:r>
        <w:rPr>
          <w:rFonts w:eastAsia="黑体" w:hint="eastAsia" w:ascii="黑体" w:hAnsi="黑体"/>
          <w:b/>
        </w:rPr>
      </w:r>
    </w:p>
    <w:p>
      <w:pPr>
        <w:pStyle w:val="content"/>
        <w:snapToGrid w:val="false"/>
        <w:spacing w:lineRule="exact" w:line="560"/>
        <w:ind w:firstLine="615" w:end="0"/>
        <w:rPr>
          <w:rFonts w:hint="eastAsia"/>
        </w:rPr>
      </w:pPr>
      <w:r>
        <w:rPr>
          <w:rFonts w:ascii="黑体" w:hAnsi="黑体" w:hint="eastAsia" w:eastAsia="黑体"/>
        </w:rPr>
        <w:t>第六十二条</w:t>
      </w:r>
      <w:r>
        <w:rPr>
          <w:rFonts w:hint="eastAsia"/>
          <w:b/>
        </w:rPr>
        <w:t>　</w:t>
      </w:r>
      <w:r>
        <w:rPr>
          <w:rFonts w:hint="eastAsia"/>
        </w:rPr>
        <w:t>各级人民政府对人民调解、劳动争议仲裁、人事争议仲裁、农村土地承包经营纠纷仲裁工作所需经费应当纳入财政预算予以保障。行业主管部门应当将所设立的调解组织的工作经费纳入本部门预算，提供必要的工作条件。</w:t>
      </w:r>
    </w:p>
    <w:p>
      <w:pPr>
        <w:pStyle w:val="content"/>
        <w:snapToGrid w:val="false"/>
        <w:spacing w:lineRule="exact" w:line="560"/>
        <w:ind w:firstLine="615" w:end="0"/>
        <w:rPr>
          <w:rFonts w:hint="eastAsia"/>
        </w:rPr>
      </w:pPr>
      <w:r>
        <w:rPr>
          <w:rFonts w:hint="eastAsia"/>
        </w:rPr>
        <w:t>对其他公益性调解组织按照规定给予补贴，提供必要的物质保障和经费支持。</w:t>
      </w:r>
    </w:p>
    <w:p>
      <w:pPr>
        <w:pStyle w:val="content"/>
        <w:snapToGrid w:val="false"/>
        <w:spacing w:lineRule="exact" w:line="560"/>
        <w:ind w:firstLineChars="200" w:startChars="0" w:start="0" w:endChars="0" w:end="0"/>
        <w:rPr>
          <w:rFonts w:hint="eastAsia"/>
        </w:rPr>
      </w:pPr>
      <w:r>
        <w:rPr>
          <w:rFonts w:hint="eastAsia"/>
        </w:rPr>
        <w:t>鼓励社会各界为公益性纠纷解决服务提供捐赠、资助。</w:t>
      </w:r>
    </w:p>
    <w:p>
      <w:pPr>
        <w:pStyle w:val="content"/>
        <w:snapToGrid w:val="false"/>
        <w:spacing w:lineRule="exact" w:line="560"/>
        <w:ind w:firstLine="615" w:end="0"/>
        <w:rPr>
          <w:rFonts w:hint="eastAsia"/>
        </w:rPr>
      </w:pPr>
      <w:r>
        <w:rPr>
          <w:rFonts w:ascii="黑体" w:hAnsi="黑体" w:hint="eastAsia" w:eastAsia="黑体"/>
        </w:rPr>
        <w:t>第六十三条　</w:t>
      </w:r>
      <w:r>
        <w:rPr>
          <w:rFonts w:hint="eastAsia"/>
        </w:rPr>
        <w:t>行政机关、人民法院、群团组织可以通过购买服务方式，交由调解组织以及其他具备条件的</w:t>
      </w:r>
      <w:hyperlink r:id="rId3" w:tgtFrame="_blank">
        <w:r>
          <w:rPr>
            <w:rStyle w:val="Hyperlink"/>
            <w:rFonts w:hint="eastAsia"/>
          </w:rPr>
          <w:t>社会组织</w:t>
        </w:r>
      </w:hyperlink>
      <w:r>
        <w:rPr>
          <w:rFonts w:hint="eastAsia"/>
        </w:rPr>
        <w:t>、机构等社会力量承接纠纷调解。</w:t>
      </w:r>
    </w:p>
    <w:p>
      <w:pPr>
        <w:pStyle w:val="content"/>
        <w:snapToGrid w:val="false"/>
        <w:spacing w:lineRule="exact" w:line="560"/>
        <w:ind w:firstLine="615" w:end="0"/>
        <w:rPr>
          <w:rFonts w:hint="eastAsia"/>
        </w:rPr>
      </w:pPr>
      <w:r>
        <w:rPr>
          <w:rFonts w:hint="eastAsia"/>
        </w:rPr>
        <w:t>前款规定的购买调解服务应当进行绩效评价。评价结果向社会公布，并作为以后选择购买服务承接主体的重要依据。</w:t>
      </w:r>
    </w:p>
    <w:p>
      <w:pPr>
        <w:pStyle w:val="content"/>
        <w:tabs>
          <w:tab w:val="clear" w:pos="420"/>
          <w:tab w:val="left" w:pos="900" w:leader="none"/>
        </w:tabs>
        <w:snapToGrid w:val="false"/>
        <w:spacing w:lineRule="exact" w:line="560"/>
        <w:ind w:firstLineChars="200" w:startChars="0" w:start="0" w:endChars="0" w:end="0"/>
        <w:rPr>
          <w:rFonts w:hint="eastAsia"/>
        </w:rPr>
      </w:pPr>
      <w:r>
        <w:rPr>
          <w:rFonts w:ascii="黑体" w:hAnsi="黑体" w:hint="eastAsia" w:eastAsia="黑体"/>
        </w:rPr>
        <w:t>第六十四条　</w:t>
      </w:r>
      <w:r>
        <w:rPr>
          <w:rFonts w:hint="eastAsia"/>
        </w:rPr>
        <w:t>人民调解组织、行业调解组织、劳动争议调解组织、行政机关解决纠纷，不得向当事人收取任何费用或者以任何名义收取报酬；鉴定费、评估费等实际发生的费用，应当由当事人承担的除外。</w:t>
      </w:r>
    </w:p>
    <w:p>
      <w:pPr>
        <w:pStyle w:val="content"/>
        <w:snapToGrid w:val="false"/>
        <w:spacing w:lineRule="exact" w:line="560"/>
        <w:ind w:firstLineChars="196" w:startChars="0" w:start="0" w:endChars="0" w:end="0"/>
        <w:rPr>
          <w:rFonts w:hint="eastAsia"/>
        </w:rPr>
      </w:pPr>
      <w:r>
        <w:rPr>
          <w:rFonts w:hint="eastAsia"/>
        </w:rPr>
        <w:t>商事调解组织调解纠纷，可以选择按照争议标的金额或者调解时间收取调解费，在受理案件前应当告知当事人。具体收费标准经市价格主管部门核准后向社会公开。</w:t>
      </w:r>
    </w:p>
    <w:p>
      <w:pPr>
        <w:pStyle w:val="content"/>
        <w:snapToGrid w:val="false"/>
        <w:spacing w:lineRule="exact" w:line="560"/>
        <w:ind w:firstLine="615" w:end="0"/>
        <w:rPr>
          <w:rFonts w:hint="eastAsia"/>
          <w:bdr w:val="single" w:sz="4" w:space="0" w:color="000000"/>
          <w:shd w:fill="E5E5E5" w:val="clear"/>
        </w:rPr>
      </w:pPr>
      <w:r>
        <w:rPr>
          <w:rFonts w:ascii="黑体" w:hAnsi="黑体" w:hint="eastAsia" w:eastAsia="黑体"/>
        </w:rPr>
        <w:t>第六十五条　</w:t>
      </w:r>
      <w:r>
        <w:rPr>
          <w:rFonts w:hint="eastAsia"/>
        </w:rPr>
        <w:t>法律援助机构可以根据当事人的委托</w:t>
      </w:r>
      <w:r>
        <w:rPr>
          <w:rFonts w:hint="eastAsia"/>
        </w:rPr>
        <w:t>,</w:t>
      </w:r>
      <w:r>
        <w:rPr>
          <w:rFonts w:hint="eastAsia"/>
        </w:rPr>
        <w:t>参与协商，促成协商解决纠纷。</w:t>
      </w:r>
    </w:p>
    <w:p>
      <w:pPr>
        <w:pStyle w:val="content"/>
        <w:snapToGrid w:val="false"/>
        <w:spacing w:lineRule="exact" w:line="560"/>
        <w:ind w:firstLine="615" w:end="0"/>
        <w:rPr>
          <w:rFonts w:hint="eastAsia"/>
        </w:rPr>
      </w:pPr>
      <w:r>
        <w:rPr>
          <w:rFonts w:hint="eastAsia"/>
        </w:rPr>
        <w:t>当事人采用非诉讼方式解决纠纷，符合法律援助条件的，法律援助机构应当依法提供法律援助。</w:t>
      </w:r>
    </w:p>
    <w:p>
      <w:pPr>
        <w:pStyle w:val="content"/>
        <w:snapToGrid w:val="false"/>
        <w:spacing w:lineRule="exact" w:line="560"/>
        <w:ind w:firstLineChars="200" w:startChars="0" w:start="0" w:endChars="0" w:end="0"/>
        <w:rPr>
          <w:rFonts w:hint="eastAsia"/>
        </w:rPr>
      </w:pPr>
      <w:r>
        <w:rPr>
          <w:rFonts w:ascii="黑体" w:hAnsi="黑体" w:hint="eastAsia" w:eastAsia="黑体"/>
        </w:rPr>
        <w:t>第六十六条　</w:t>
      </w:r>
      <w:r>
        <w:rPr>
          <w:rFonts w:hint="eastAsia"/>
        </w:rPr>
        <w:t>司法行政部门应当会同有关部门制定人民调解员职业道德准则、等级评定办法，明确评定条件、评定程序、报酬补贴、考核奖惩等，建立完善人民调解员分类、分级管理制度，定期组织培训。</w:t>
      </w:r>
    </w:p>
    <w:p>
      <w:pPr>
        <w:pStyle w:val="content"/>
        <w:snapToGrid w:val="false"/>
        <w:spacing w:lineRule="exact" w:line="560"/>
        <w:ind w:firstLineChars="200" w:startChars="0" w:start="0" w:endChars="0" w:end="0"/>
        <w:rPr>
          <w:rFonts w:hint="eastAsia"/>
        </w:rPr>
      </w:pPr>
      <w:r>
        <w:rPr>
          <w:rFonts w:ascii="黑体" w:hAnsi="黑体" w:hint="eastAsia" w:eastAsia="黑体"/>
        </w:rPr>
        <w:t>第六十七条　</w:t>
      </w:r>
      <w:r>
        <w:rPr>
          <w:rFonts w:hint="eastAsia"/>
        </w:rPr>
        <w:t>鼓励本市高等院校设立专门课程，开展协商、调解和仲裁等纠纷解决程序的理论研究与实务培训。</w:t>
      </w:r>
    </w:p>
    <w:p>
      <w:pPr>
        <w:pStyle w:val="Normal"/>
        <w:tabs>
          <w:tab w:val="clear" w:pos="420"/>
          <w:tab w:val="left" w:pos="720" w:leader="none"/>
        </w:tabs>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第六十八条　</w:t>
      </w:r>
      <w:r>
        <w:rPr>
          <w:rFonts w:ascii="仿宋_GB2312;仿宋" w:hAnsi="仿宋_GB2312;仿宋" w:hint="eastAsia" w:eastAsia="仿宋_GB2312;仿宋"/>
          <w:sz w:val="32"/>
          <w:szCs w:val="32"/>
        </w:rPr>
        <w:t>行政机关应当建立行政决策风险评估、政务信息公开、听证制度，定期分析与本部门业务工作相关的纠纷的特点和规律，加强纠纷信息收集、报送、研判和预测预防工作，预防和减少纠纷。</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第六十九条　</w:t>
      </w:r>
      <w:r>
        <w:rPr>
          <w:rFonts w:ascii="仿宋_GB2312;仿宋" w:hAnsi="仿宋_GB2312;仿宋" w:hint="eastAsia" w:eastAsia="仿宋_GB2312;仿宋"/>
          <w:sz w:val="32"/>
          <w:szCs w:val="32"/>
        </w:rPr>
        <w:t>调解员在调解纠纷过程中，发现纠纷有可能激化的，应当采取有针对性的预防措施；对有可能引起治安案件、刑事案件的纠纷，应当及时报告当地公安机关和有关部门。公安机关和有关部门应当及时采取防范措施。</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第七十条　</w:t>
      </w:r>
      <w:r>
        <w:rPr>
          <w:rFonts w:ascii="仿宋_GB2312;仿宋" w:hAnsi="仿宋_GB2312;仿宋" w:hint="eastAsia" w:eastAsia="仿宋_GB2312;仿宋"/>
          <w:sz w:val="32"/>
          <w:szCs w:val="32"/>
        </w:rPr>
        <w:t>市、区人民政府、人民法院、人民检察院应当加强多元化纠纷解决机制宣传和普及工作，增进社会公众对非诉讼纠纷解决方式的理解。</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第七十一条　</w:t>
      </w:r>
      <w:r>
        <w:rPr>
          <w:rFonts w:ascii="仿宋_GB2312;仿宋" w:hAnsi="仿宋_GB2312;仿宋" w:hint="eastAsia" w:eastAsia="仿宋_GB2312;仿宋"/>
          <w:sz w:val="32"/>
          <w:szCs w:val="32"/>
        </w:rPr>
        <w:t>市、区人民政府及其有关部门应当加强多元化纠纷解决机制信息化建设，完善信息共享平台，提高纠纷解决工作效率。</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content"/>
        <w:snapToGrid w:val="false"/>
        <w:spacing w:lineRule="exact" w:line="560"/>
        <w:ind w:firstLineChars="1096" w:startChars="0" w:start="0" w:endChars="0" w:end="0"/>
        <w:rPr>
          <w:rFonts w:ascii="黑体" w:hAnsi="黑体" w:eastAsia="黑体" w:hint="eastAsia"/>
        </w:rPr>
      </w:pPr>
      <w:r>
        <w:rPr>
          <w:rFonts w:ascii="黑体" w:hAnsi="黑体" w:hint="eastAsia" w:eastAsia="黑体"/>
        </w:rPr>
        <w:t>第六章　考核监督</w:t>
      </w:r>
    </w:p>
    <w:p>
      <w:pPr>
        <w:pStyle w:val="content"/>
        <w:snapToGrid w:val="false"/>
        <w:spacing w:lineRule="exact" w:line="560"/>
        <w:jc w:val="center"/>
        <w:rPr>
          <w:rFonts w:ascii="黑体" w:hAnsi="黑体" w:eastAsia="黑体" w:hint="eastAsia"/>
          <w:b/>
        </w:rPr>
      </w:pPr>
      <w:r>
        <w:rPr>
          <w:rFonts w:eastAsia="黑体" w:hint="eastAsia" w:ascii="黑体" w:hAnsi="黑体"/>
          <w:b/>
        </w:rPr>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第七十二条</w:t>
      </w:r>
      <w:r>
        <w:rPr>
          <w:rFonts w:ascii="仿宋_GB2312;仿宋" w:hAnsi="仿宋_GB2312;仿宋" w:hint="eastAsia" w:eastAsia="仿宋_GB2312;仿宋"/>
          <w:b/>
          <w:sz w:val="32"/>
          <w:szCs w:val="32"/>
        </w:rPr>
        <w:t>　</w:t>
      </w:r>
      <w:r>
        <w:rPr>
          <w:rFonts w:ascii="仿宋_GB2312;仿宋" w:hAnsi="仿宋_GB2312;仿宋" w:hint="eastAsia" w:eastAsia="仿宋_GB2312;仿宋"/>
          <w:sz w:val="32"/>
          <w:szCs w:val="32"/>
        </w:rPr>
        <w:t>各级人民政府及其有关部门应当建立和落实纠纷解决工作责任制度和过错责任追究制度。</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其他有关单位应当制定调解工作规范，规范调解员管理，建立和落实纠纷解决工作责任制度和过错责任追究制度。</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第七十三条　</w:t>
      </w:r>
      <w:r>
        <w:rPr>
          <w:rFonts w:ascii="仿宋_GB2312;仿宋" w:hAnsi="仿宋_GB2312;仿宋" w:hint="eastAsia" w:eastAsia="仿宋_GB2312;仿宋"/>
          <w:sz w:val="32"/>
          <w:szCs w:val="32"/>
        </w:rPr>
        <w:t>司法行政部门和有关主管部门，应当建立健全调解组织名册管理制度，加强对调解组织和调解员的监督考核。</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调解组织名册应当向社会公开，接受社会监督。 </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第七十四条</w:t>
      </w:r>
      <w:r>
        <w:rPr>
          <w:rFonts w:ascii="仿宋_GB2312;仿宋" w:hAnsi="仿宋_GB2312;仿宋" w:hint="eastAsia" w:eastAsia="仿宋_GB2312;仿宋"/>
          <w:b/>
          <w:sz w:val="32"/>
          <w:szCs w:val="32"/>
        </w:rPr>
        <w:t>　</w:t>
      </w:r>
      <w:r>
        <w:rPr>
          <w:rFonts w:ascii="仿宋_GB2312;仿宋" w:hAnsi="仿宋_GB2312;仿宋" w:hint="eastAsia" w:eastAsia="仿宋_GB2312;仿宋"/>
          <w:sz w:val="32"/>
          <w:szCs w:val="32"/>
        </w:rPr>
        <w:t xml:space="preserve">调解组织应当建立健全各项调解工作制度，建立调解员名册，落实调解工作责任制。 </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0"/>
          <w:sz w:val="32"/>
          <w:szCs w:val="32"/>
        </w:rPr>
        <w:t>第七十五条</w:t>
      </w:r>
      <w:r>
        <w:rPr>
          <w:rFonts w:ascii="仿宋_GB2312;仿宋" w:hAnsi="仿宋_GB2312;仿宋" w:hint="eastAsia" w:eastAsia="仿宋_GB2312;仿宋"/>
          <w:sz w:val="32"/>
          <w:szCs w:val="32"/>
        </w:rPr>
        <w:t>　调解员在调解工作中有下列行为之一的，由有关行政主管部门或者其所在的调解组织给予批评教育、责令改正；情节严重的，由推选或者聘任单位予以罢免或者解聘：</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偏袒一方当事人的；</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侮辱当事人的；</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索取、收受财物或者牟取其他不正当利益的；</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四</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泄露当事人个人隐私、商业秘密的；</w:t>
      </w:r>
    </w:p>
    <w:p>
      <w:pPr>
        <w:pStyle w:val="Normal"/>
        <w:snapToGrid w:val="false"/>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五</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其他违反调解员职业道德的行为。</w:t>
      </w:r>
    </w:p>
    <w:p>
      <w:pPr>
        <w:pStyle w:val="content"/>
        <w:snapToGrid w:val="false"/>
        <w:spacing w:lineRule="exact" w:line="560"/>
        <w:rPr>
          <w:rFonts w:ascii="仿宋_GB2312;仿宋" w:hAnsi="仿宋_GB2312;仿宋" w:eastAsia="仿宋_GB2312;仿宋" w:hint="eastAsia"/>
          <w:sz w:val="32"/>
          <w:szCs w:val="32"/>
        </w:rPr>
      </w:pPr>
      <w:r>
        <w:rPr>
          <w:rFonts w:eastAsia="仿宋_GB2312;仿宋" w:hint="eastAsia"/>
          <w:sz w:val="32"/>
          <w:szCs w:val="32"/>
        </w:rPr>
      </w:r>
    </w:p>
    <w:p>
      <w:pPr>
        <w:pStyle w:val="content"/>
        <w:snapToGrid w:val="false"/>
        <w:spacing w:lineRule="exact" w:line="560"/>
        <w:jc w:val="center"/>
        <w:rPr>
          <w:rFonts w:ascii="黑体" w:hAnsi="黑体" w:eastAsia="黑体" w:hint="eastAsia"/>
        </w:rPr>
      </w:pPr>
      <w:r>
        <w:rPr>
          <w:rFonts w:ascii="黑体" w:hAnsi="黑体" w:hint="eastAsia" w:eastAsia="黑体"/>
        </w:rPr>
        <w:t>第七章　附则</w:t>
      </w:r>
    </w:p>
    <w:p>
      <w:pPr>
        <w:pStyle w:val="content"/>
        <w:snapToGrid w:val="false"/>
        <w:spacing w:lineRule="exact" w:line="560"/>
        <w:rPr>
          <w:rFonts w:ascii="黑体" w:hAnsi="黑体" w:eastAsia="黑体" w:hint="eastAsia"/>
          <w:bdr w:val="single" w:sz="4" w:space="0" w:color="000000"/>
          <w:shd w:fill="E5E5E5" w:val="clear"/>
        </w:rPr>
      </w:pPr>
      <w:r>
        <w:rPr>
          <w:rFonts w:eastAsia="黑体" w:hint="eastAsia" w:ascii="黑体" w:hAnsi="黑体"/>
          <w:bdr w:val="single" w:sz="4" w:space="0" w:color="000000"/>
          <w:shd w:fill="E5E5E5" w:val="clear"/>
        </w:rPr>
      </w:r>
    </w:p>
    <w:p>
      <w:pPr>
        <w:pStyle w:val="content"/>
        <w:snapToGrid w:val="false"/>
        <w:spacing w:lineRule="exact" w:line="560"/>
        <w:ind w:firstLineChars="200" w:startChars="0" w:start="0" w:endChars="0" w:end="0"/>
        <w:rPr>
          <w:rFonts w:hint="eastAsia"/>
        </w:rPr>
      </w:pPr>
      <w:r>
        <w:rPr>
          <w:rFonts w:ascii="黑体" w:hAnsi="黑体" w:hint="eastAsia" w:eastAsia="黑体"/>
        </w:rPr>
        <w:t>第七十六条　</w:t>
      </w:r>
      <w:r>
        <w:rPr>
          <w:rFonts w:hint="eastAsia"/>
        </w:rPr>
        <w:t>本条例自</w:t>
      </w:r>
      <w:r>
        <w:rPr>
          <w:rFonts w:hint="eastAsia"/>
        </w:rPr>
        <w:t>2015</w:t>
      </w:r>
      <w:r>
        <w:rPr>
          <w:rFonts w:hint="eastAsia"/>
        </w:rPr>
        <w:t>年</w:t>
      </w:r>
      <w:r>
        <w:rPr>
          <w:rFonts w:hint="eastAsia"/>
        </w:rPr>
        <w:t>5</w:t>
      </w:r>
      <w:r>
        <w:rPr>
          <w:rFonts w:hint="eastAsia"/>
        </w:rPr>
        <w:t>月</w:t>
      </w:r>
      <w:r>
        <w:rPr>
          <w:rFonts w:hint="eastAsia"/>
        </w:rPr>
        <w:t>1</w:t>
      </w:r>
      <w:r>
        <w:rPr>
          <w:rFonts w:hint="eastAsia"/>
        </w:rPr>
        <w:t>日起施行。</w:t>
      </w:r>
    </w:p>
    <w:p>
      <w:pPr>
        <w:pStyle w:val="Normal"/>
        <w:snapToGrid w:val="false"/>
        <w:spacing w:lineRule="exact" w:line="56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6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6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4"/>
      <w:type w:val="nextPage"/>
      <w:pgSz w:w="11906" w:h="16838"/>
      <w:pgMar w:left="1587" w:right="1474" w:gutter="0" w:header="0"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17</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33.1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17</w:t>
                    </w:r>
                    <w:r>
                      <w:rPr>
                        <w:rFonts w:hint="eastAsia"/>
                        <w:sz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2250" w:hanging="1350"/>
      </w:pPr>
      <w:rPr/>
    </w:lvl>
    <w:lvl w:ilvl="1">
      <w:start w:val="1"/>
      <w:numFmt w:val="lowerLetter"/>
      <w:lvlText w:val="%2)"/>
      <w:lvlJc w:val="start"/>
      <w:pPr>
        <w:tabs>
          <w:tab w:val="num" w:pos="0"/>
        </w:tabs>
        <w:ind w:start="1740" w:hanging="420"/>
      </w:pPr>
    </w:lvl>
    <w:lvl w:ilvl="2">
      <w:start w:val="1"/>
      <w:numFmt w:val="lowerRoman"/>
      <w:lvlText w:val="%3."/>
      <w:lvlJc w:val="end"/>
      <w:pPr>
        <w:tabs>
          <w:tab w:val="num" w:pos="0"/>
        </w:tabs>
        <w:ind w:start="2160" w:hanging="420"/>
      </w:pPr>
    </w:lvl>
    <w:lvl w:ilvl="3">
      <w:start w:val="1"/>
      <w:numFmt w:val="decimal"/>
      <w:lvlText w:val="%4."/>
      <w:lvlJc w:val="start"/>
      <w:pPr>
        <w:tabs>
          <w:tab w:val="num" w:pos="0"/>
        </w:tabs>
        <w:ind w:start="2580" w:hanging="420"/>
      </w:pPr>
    </w:lvl>
    <w:lvl w:ilvl="4">
      <w:start w:val="1"/>
      <w:numFmt w:val="lowerLetter"/>
      <w:lvlText w:val="%5)"/>
      <w:lvlJc w:val="start"/>
      <w:pPr>
        <w:tabs>
          <w:tab w:val="num" w:pos="0"/>
        </w:tabs>
        <w:ind w:start="3000" w:hanging="420"/>
      </w:pPr>
    </w:lvl>
    <w:lvl w:ilvl="5">
      <w:start w:val="1"/>
      <w:numFmt w:val="lowerRoman"/>
      <w:lvlText w:val="%6."/>
      <w:lvlJc w:val="end"/>
      <w:pPr>
        <w:tabs>
          <w:tab w:val="num" w:pos="0"/>
        </w:tabs>
        <w:ind w:start="3420" w:hanging="420"/>
      </w:pPr>
    </w:lvl>
    <w:lvl w:ilvl="6">
      <w:start w:val="1"/>
      <w:numFmt w:val="decimal"/>
      <w:lvlText w:val="%7."/>
      <w:lvlJc w:val="start"/>
      <w:pPr>
        <w:tabs>
          <w:tab w:val="num" w:pos="0"/>
        </w:tabs>
        <w:ind w:start="3840" w:hanging="420"/>
      </w:pPr>
    </w:lvl>
    <w:lvl w:ilvl="7">
      <w:start w:val="1"/>
      <w:numFmt w:val="lowerLetter"/>
      <w:lvlText w:val="%8)"/>
      <w:lvlJc w:val="start"/>
      <w:pPr>
        <w:tabs>
          <w:tab w:val="num" w:pos="0"/>
        </w:tabs>
        <w:ind w:start="4260" w:hanging="420"/>
      </w:pPr>
    </w:lvl>
    <w:lvl w:ilvl="8">
      <w:start w:val="1"/>
      <w:numFmt w:val="lowerRoman"/>
      <w:lvlText w:val="%9."/>
      <w:lvlJc w:val="end"/>
      <w:pPr>
        <w:tabs>
          <w:tab w:val="num" w:pos="0"/>
        </w:tabs>
        <w:ind w:start="46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 w:hAnsi="宋体"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ontentc">
    <w:name w:val="contentc"/>
    <w:basedOn w:val="Normal"/>
    <w:qFormat/>
    <w:pPr>
      <w:widowControl/>
      <w:spacing w:lineRule="auto" w:line="300"/>
      <w:jc w:val="center"/>
    </w:pPr>
    <w:rPr>
      <w:rFonts w:ascii="仿宋_GB2312;仿宋" w:hAnsi="仿宋_GB2312;仿宋" w:eastAsia="仿宋_GB2312;仿宋" w:cs="宋体"/>
      <w:kern w:val="0"/>
      <w:sz w:val="32"/>
      <w:szCs w:val="32"/>
    </w:rPr>
  </w:style>
  <w:style w:type="paragraph" w:styleId="content">
    <w:name w:val="content"/>
    <w:basedOn w:val="Normal"/>
    <w:qFormat/>
    <w:pPr>
      <w:widowControl/>
      <w:spacing w:lineRule="auto" w:line="300"/>
    </w:pPr>
    <w:rPr>
      <w:rFonts w:ascii="仿宋_GB2312;仿宋" w:hAnsi="仿宋_GB2312;仿宋" w:eastAsia="仿宋_GB2312;仿宋" w:cs="宋体"/>
      <w:kern w:val="0"/>
      <w:sz w:val="32"/>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82682.htm" TargetMode="External"/><Relationship Id="rId3" Type="http://schemas.openxmlformats.org/officeDocument/2006/relationships/hyperlink" Target="http://zhidao.baidu.com/search?word=&#31038;&#20250;&#32452;&#32455;&amp;fr=qb_search_exp&amp;ie=utf8"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2015-12-28T16:23:00Z</dcterms:created>
  <dc:creator>User</dc:creator>
  <dc:description/>
  <dc:language>en-US</dc:language>
  <cp:lastModifiedBy>dell</cp:lastModifiedBy>
  <dcterms:modified xsi:type="dcterms:W3CDTF">2019-02-15T13:05:00Z</dcterms:modified>
  <cp:revision>4</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