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widowControl w:val="false"/>
        <w:shd w:fill="FFFFFF" w:val="clear"/>
        <w:spacing w:lineRule="exact" w:line="580" w:before="0" w:after="0"/>
        <w:ind w:hanging="0" w:start="0"/>
        <w:jc w:val="center"/>
        <w:rPr>
          <w:rFonts w:hint="eastAsia"/>
          <w:b w:val="false"/>
          <w:color w:val="424142"/>
          <w:sz w:val="44"/>
          <w:szCs w:val="44"/>
        </w:rPr>
      </w:pPr>
      <w:r>
        <w:rPr>
          <w:rFonts w:hint="eastAsia"/>
          <w:b w:val="false"/>
          <w:color w:val="424142"/>
          <w:sz w:val="44"/>
          <w:szCs w:val="44"/>
        </w:rPr>
      </w:r>
    </w:p>
    <w:p>
      <w:pPr>
        <w:pStyle w:val="Heading2"/>
        <w:widowControl w:val="false"/>
        <w:shd w:fill="FFFFFF" w:val="clear"/>
        <w:spacing w:lineRule="exact" w:line="580" w:before="0" w:after="0"/>
        <w:ind w:hanging="0" w:start="0"/>
        <w:jc w:val="center"/>
        <w:rPr>
          <w:rFonts w:hint="eastAsia"/>
          <w:b w:val="false"/>
          <w:color w:val="424142"/>
          <w:sz w:val="44"/>
          <w:szCs w:val="44"/>
        </w:rPr>
      </w:pPr>
      <w:r>
        <w:rPr>
          <w:rFonts w:hint="eastAsia"/>
          <w:b w:val="false"/>
          <w:color w:val="424142"/>
          <w:sz w:val="44"/>
          <w:szCs w:val="44"/>
        </w:rPr>
      </w:r>
    </w:p>
    <w:p>
      <w:pPr>
        <w:pStyle w:val="Heading2"/>
        <w:widowControl w:val="false"/>
        <w:shd w:fill="FFFFFF" w:val="clear"/>
        <w:spacing w:lineRule="exact" w:line="580" w:before="0" w:after="0"/>
        <w:ind w:hanging="0" w:start="0"/>
        <w:jc w:val="center"/>
        <w:rPr/>
      </w:pPr>
      <w:r>
        <w:rPr>
          <w:rFonts w:hint="eastAsia"/>
          <w:b w:val="false"/>
          <w:color w:val="424142"/>
          <w:sz w:val="44"/>
          <w:szCs w:val="44"/>
        </w:rPr>
        <w:t>厦门经济特区筼筜</w:t>
      </w:r>
      <w:r>
        <w:rPr>
          <w:rFonts w:cs="仿宋_GB2312" w:hint="eastAsia"/>
          <w:b w:val="false"/>
          <w:color w:val="424142"/>
          <w:sz w:val="44"/>
          <w:szCs w:val="44"/>
        </w:rPr>
        <w:t>湖区管理办法</w:t>
      </w:r>
    </w:p>
    <w:p>
      <w:pPr>
        <w:pStyle w:val="Heading2"/>
        <w:widowControl w:val="false"/>
        <w:shd w:fill="FFFFFF" w:val="clear"/>
        <w:spacing w:lineRule="exact" w:line="580" w:before="0" w:after="0"/>
        <w:ind w:hanging="0" w:start="0"/>
        <w:jc w:val="center"/>
        <w:rPr>
          <w:rFonts w:cs="仿宋_GB2312" w:hint="eastAsia"/>
          <w:b w:val="false"/>
          <w:color w:val="424142"/>
          <w:sz w:val="44"/>
          <w:szCs w:val="44"/>
        </w:rPr>
      </w:pPr>
      <w:r>
        <w:rPr>
          <w:rFonts w:cs="仿宋_GB2312" w:hint="eastAsia"/>
          <w:b w:val="false"/>
          <w:color w:val="424142"/>
          <w:sz w:val="44"/>
          <w:szCs w:val="44"/>
        </w:rPr>
      </w:r>
    </w:p>
    <w:p>
      <w:pPr>
        <w:pStyle w:val="Style14"/>
        <w:widowControl w:val="false"/>
        <w:shd w:fill="FFFFFF" w:val="clear"/>
        <w:spacing w:lineRule="exact" w:line="580" w:before="0" w:after="0"/>
        <w:ind w:firstLineChars="0" w:firstLine="0" w:startChars="200" w:endChars="200"/>
        <w:jc w:val="both"/>
        <w:rPr>
          <w:rFonts w:ascii="楷体_GB2312" w:hAnsi="楷体_GB2312" w:eastAsia="楷体_GB2312" w:hint="eastAsia"/>
          <w:color w:val="333333"/>
          <w:sz w:val="32"/>
          <w:szCs w:val="32"/>
        </w:rPr>
      </w:pPr>
      <w:r>
        <w:rPr>
          <w:rFonts w:ascii="楷体_GB2312" w:hAnsi="楷体_GB2312" w:hint="eastAsia" w:eastAsia="楷体_GB2312"/>
          <w:color w:val="333333"/>
          <w:sz w:val="32"/>
          <w:szCs w:val="32"/>
        </w:rPr>
        <w:t>（１９９７年７月２３日厦门市第十届人民代表大会常务委员会第三十次会议通过  根据２０１０年７月２９日厦门市第十三届人民代表大会常务委员会第二十三次会议《厦门市人民代表大会常务委员会关于修改＜厦门市城市园林绿化条例＞等二十部经济特区法规名称的决定》修正）</w:t>
      </w:r>
    </w:p>
    <w:p>
      <w:pPr>
        <w:pStyle w:val="Style14"/>
        <w:widowControl w:val="false"/>
        <w:shd w:fill="FFFFFF" w:val="clear"/>
        <w:spacing w:lineRule="exact" w:line="580" w:before="0" w:after="0"/>
        <w:ind w:firstLine="645" w:end="0"/>
        <w:rPr>
          <w:rFonts w:ascii="楷体_GB2312" w:hAnsi="楷体_GB2312" w:eastAsia="楷体_GB2312" w:hint="eastAsia"/>
          <w:color w:val="333333"/>
          <w:sz w:val="32"/>
          <w:szCs w:val="32"/>
        </w:rPr>
      </w:pPr>
      <w:r>
        <w:rPr>
          <w:rFonts w:eastAsia="楷体_GB2312" w:hint="eastAsia" w:ascii="楷体_GB2312" w:hAnsi="楷体_GB2312"/>
          <w:color w:val="333333"/>
          <w:sz w:val="32"/>
          <w:szCs w:val="32"/>
        </w:rPr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第一条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　为加强</w:t>
      </w:r>
      <w:r>
        <w:rPr>
          <w:rFonts w:hint="eastAsia"/>
          <w:color w:val="333333"/>
          <w:sz w:val="32"/>
          <w:szCs w:val="32"/>
        </w:rPr>
        <w:t>筼筜</w:t>
      </w:r>
      <w:r>
        <w:rPr>
          <w:rFonts w:ascii="仿宋_GB2312" w:hAnsi="仿宋_GB2312" w:cs="仿宋_GB2312" w:hint="eastAsia" w:eastAsia="仿宋_GB2312"/>
          <w:color w:val="333333"/>
          <w:sz w:val="32"/>
          <w:szCs w:val="32"/>
        </w:rPr>
        <w:t>湖区的保护和管理，充分发挥</w:t>
      </w:r>
      <w:r>
        <w:rPr>
          <w:rFonts w:hint="eastAsia"/>
          <w:color w:val="333333"/>
          <w:sz w:val="32"/>
          <w:szCs w:val="32"/>
        </w:rPr>
        <w:t>筼筜</w:t>
      </w:r>
      <w:r>
        <w:rPr>
          <w:rFonts w:ascii="仿宋_GB2312" w:hAnsi="仿宋_GB2312" w:cs="仿宋_GB2312" w:hint="eastAsia" w:eastAsia="仿宋_GB2312"/>
          <w:color w:val="333333"/>
          <w:sz w:val="32"/>
          <w:szCs w:val="32"/>
        </w:rPr>
        <w:t>湖区的综合功能，把</w:t>
      </w:r>
      <w:r>
        <w:rPr>
          <w:rFonts w:hint="eastAsia"/>
          <w:color w:val="333333"/>
          <w:sz w:val="32"/>
          <w:szCs w:val="32"/>
        </w:rPr>
        <w:t>筼筜</w:t>
      </w:r>
      <w:r>
        <w:rPr>
          <w:rFonts w:ascii="仿宋_GB2312" w:hAnsi="仿宋_GB2312" w:cs="仿宋_GB2312" w:hint="eastAsia" w:eastAsia="仿宋_GB2312"/>
          <w:color w:val="333333"/>
          <w:sz w:val="32"/>
          <w:szCs w:val="32"/>
        </w:rPr>
        <w:t>湖区建设成厦门市的文化娱乐、游览休闲的风景区，遵循国家有关法律、行政法规的基本原则，结合本市实际，制定本办法。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第二条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　本办法所称</w:t>
      </w:r>
      <w:r>
        <w:rPr>
          <w:rFonts w:hint="eastAsia"/>
          <w:color w:val="333333"/>
          <w:sz w:val="32"/>
          <w:szCs w:val="32"/>
        </w:rPr>
        <w:t>筼筜</w:t>
      </w:r>
      <w:r>
        <w:rPr>
          <w:rFonts w:ascii="仿宋_GB2312" w:hAnsi="仿宋_GB2312" w:cs="仿宋_GB2312" w:hint="eastAsia" w:eastAsia="仿宋_GB2312"/>
          <w:color w:val="333333"/>
          <w:sz w:val="32"/>
          <w:szCs w:val="32"/>
        </w:rPr>
        <w:t>湖区（以下简称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湖区），是指莲岳路（湖滨北路至槟榔路段）西侧人行道以西，槟榔路北侧人行道以北，湖光路北侧人行道以北，湖滨中路至湖滨西路</w:t>
      </w:r>
      <w:r>
        <w:rPr>
          <w:rFonts w:hint="eastAsia"/>
          <w:color w:val="333333"/>
          <w:sz w:val="32"/>
          <w:szCs w:val="32"/>
        </w:rPr>
        <w:t>筼筜</w:t>
      </w:r>
      <w:r>
        <w:rPr>
          <w:rFonts w:ascii="仿宋_GB2312" w:hAnsi="仿宋_GB2312" w:cs="仿宋_GB2312" w:hint="eastAsia" w:eastAsia="仿宋_GB2312"/>
          <w:color w:val="333333"/>
          <w:sz w:val="32"/>
          <w:szCs w:val="32"/>
        </w:rPr>
        <w:t>湖南驳岸以南不少于二十米，湖滨西路东侧人行道以东，湖滨西路至湖滨中路北驳岸以北不少于二十米，湖滨北路（湖滨中路至莲岳路段）南侧人行道以南，上述范围内的水域、陆域及西堤闸门和排涝泵站。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湖区具体座标范围由市人民政府按上款规定划定，报市人民代表大会常务委员会备案。</w:t>
      </w:r>
    </w:p>
    <w:p>
      <w:pPr>
        <w:pStyle w:val="Style14"/>
        <w:widowControl w:val="false"/>
        <w:shd w:fill="FFFFFF" w:val="clear"/>
        <w:spacing w:lineRule="exact" w:line="580" w:before="0" w:after="0"/>
        <w:rPr/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　第三条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　厦门市市政行政主管部门是湖区的主管部门。</w:t>
      </w:r>
    </w:p>
    <w:p>
      <w:pPr>
        <w:pStyle w:val="Style14"/>
        <w:widowControl w:val="false"/>
        <w:shd w:fill="FFFFFF" w:val="clear"/>
        <w:spacing w:lineRule="exact" w:line="580" w:before="0" w:after="0"/>
        <w:rPr/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厦门市</w:t>
      </w:r>
      <w:r>
        <w:rPr>
          <w:rFonts w:hint="eastAsia"/>
          <w:color w:val="333333"/>
          <w:sz w:val="32"/>
          <w:szCs w:val="32"/>
        </w:rPr>
        <w:t>筼筜</w:t>
      </w:r>
      <w:r>
        <w:rPr>
          <w:rFonts w:ascii="仿宋_GB2312" w:hAnsi="仿宋_GB2312" w:cs="仿宋_GB2312" w:hint="eastAsia" w:eastAsia="仿宋_GB2312"/>
          <w:color w:val="333333"/>
          <w:sz w:val="32"/>
          <w:szCs w:val="32"/>
        </w:rPr>
        <w:t>湖区管理机构是湖区专门管理机构，依照本办法具体负责湖区建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设、保护和管理工作。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规划、环保、建设、土地、园林、水利、公安、旅游、工商、城监等部门依法在各自的职责范围内协同实施本办法。</w:t>
      </w:r>
    </w:p>
    <w:p>
      <w:pPr>
        <w:pStyle w:val="Style14"/>
        <w:widowControl w:val="false"/>
        <w:shd w:fill="FFFFFF" w:val="clear"/>
        <w:spacing w:lineRule="exact" w:line="580" w:before="0" w:after="0"/>
        <w:rPr/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第四条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　任何单位和个人都有保护湖区的义务，对违反本办法的行为有权制止、举报。对湖区建设、维护和保护做出显著成绩的单位和个人，给予表彰和奖励。</w:t>
      </w:r>
    </w:p>
    <w:p>
      <w:pPr>
        <w:pStyle w:val="Style14"/>
        <w:widowControl w:val="false"/>
        <w:shd w:fill="FFFFFF" w:val="clear"/>
        <w:spacing w:lineRule="exact" w:line="580" w:before="0" w:after="0"/>
        <w:rPr/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　第五条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　湖区建设规划是湖区建设、保护和管理的依据，由市规划部门会同市市政行政主管等部门组织编制，报市人民政府批准，并报市人民代表大会常务委员会备案。</w:t>
      </w:r>
    </w:p>
    <w:p>
      <w:pPr>
        <w:pStyle w:val="Style14"/>
        <w:widowControl w:val="false"/>
        <w:shd w:fill="FFFFFF" w:val="clear"/>
        <w:spacing w:lineRule="exact" w:line="580" w:before="0" w:after="0"/>
        <w:rPr/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第六条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　湖区建设应纳入城市年度建设计划，建设资金可以采取政府投资、社会集资等方式筹集。</w:t>
      </w:r>
    </w:p>
    <w:p>
      <w:pPr>
        <w:pStyle w:val="Style14"/>
        <w:widowControl w:val="false"/>
        <w:shd w:fill="FFFFFF" w:val="clear"/>
        <w:spacing w:lineRule="exact" w:line="580" w:before="0" w:after="0"/>
        <w:rPr/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第七条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　禁止任何单位和个人在湖区填湖造地，确保湖区现有一点五平方公里以上的纳洪面积。</w:t>
      </w:r>
    </w:p>
    <w:p>
      <w:pPr>
        <w:pStyle w:val="Style14"/>
        <w:widowControl w:val="false"/>
        <w:shd w:fill="FFFFFF" w:val="clear"/>
        <w:spacing w:lineRule="exact" w:line="580" w:before="0" w:after="0"/>
        <w:rPr/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第八条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　湖区的绿地率不得低于百分之八十五。湖区内的绿化及设施应当依照公园标准进行建设、养护和管理。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湖区沿岸应当建设环湖林荫步行道、绿化带、小游园及供游人休闲的设施。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湖区沿岸各单位应当服从和确保环湖林荫步行道的建设，建设项目的临湖一侧不得设置封闭式围墙。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第九条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　在湖区内进行建设，应当符合湖区建设规划，经</w:t>
      </w:r>
      <w:r>
        <w:rPr>
          <w:rFonts w:hint="eastAsia"/>
          <w:color w:val="333333"/>
          <w:sz w:val="32"/>
          <w:szCs w:val="32"/>
        </w:rPr>
        <w:t>筼筜</w:t>
      </w:r>
      <w:r>
        <w:rPr>
          <w:rFonts w:ascii="仿宋_GB2312" w:hAnsi="仿宋_GB2312" w:cs="仿宋_GB2312" w:hint="eastAsia" w:eastAsia="仿宋_GB2312"/>
          <w:color w:val="333333"/>
          <w:sz w:val="32"/>
          <w:szCs w:val="32"/>
        </w:rPr>
        <w:t>湖区管理机构同意和按照有关规定办理报审手续后，由市人民政府批准。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第十条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　城市电力、电讯、自来水、煤气和供热等公用设施建设需占用湖区陆地、空间及水面的，应当经</w:t>
      </w:r>
      <w:r>
        <w:rPr>
          <w:rFonts w:hint="eastAsia"/>
          <w:color w:val="333333"/>
          <w:sz w:val="32"/>
          <w:szCs w:val="32"/>
        </w:rPr>
        <w:t>筼筜</w:t>
      </w:r>
      <w:r>
        <w:rPr>
          <w:rFonts w:ascii="仿宋_GB2312" w:hAnsi="仿宋_GB2312" w:cs="仿宋_GB2312" w:hint="eastAsia" w:eastAsia="仿宋_GB2312"/>
          <w:color w:val="333333"/>
          <w:sz w:val="32"/>
          <w:szCs w:val="32"/>
        </w:rPr>
        <w:t>湖区管理机构审查同意，依法报有关职能部门审批后，方可施工。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依前款规定的施工对湖区设施造成损坏的，由责任方承担赔偿费、修复费。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第十一条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　市市政行政主管部门应当做好流入</w:t>
      </w:r>
      <w:r>
        <w:rPr>
          <w:rFonts w:hint="eastAsia"/>
          <w:color w:val="333333"/>
          <w:sz w:val="32"/>
          <w:szCs w:val="32"/>
        </w:rPr>
        <w:t>筼筜</w:t>
      </w:r>
      <w:r>
        <w:rPr>
          <w:rFonts w:ascii="仿宋_GB2312" w:hAnsi="仿宋_GB2312" w:cs="仿宋_GB2312" w:hint="eastAsia" w:eastAsia="仿宋_GB2312"/>
          <w:color w:val="333333"/>
          <w:sz w:val="32"/>
          <w:szCs w:val="32"/>
        </w:rPr>
        <w:t>湖内的污水的截流工作。湖区沿岸及湖区内的建筑物实行雨水和污水分流，不得向湖区水域排放污水。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</w:t>
      </w:r>
      <w:r>
        <w:rPr>
          <w:rFonts w:hint="eastAsia"/>
          <w:color w:val="333333"/>
          <w:sz w:val="32"/>
          <w:szCs w:val="32"/>
        </w:rPr>
        <w:t>筼筜</w:t>
      </w:r>
      <w:r>
        <w:rPr>
          <w:rFonts w:ascii="仿宋_GB2312" w:hAnsi="仿宋_GB2312" w:cs="仿宋_GB2312" w:hint="eastAsia" w:eastAsia="仿宋_GB2312"/>
          <w:color w:val="333333"/>
          <w:sz w:val="32"/>
          <w:szCs w:val="32"/>
        </w:rPr>
        <w:t>湖区管理机构应当对排入</w:t>
      </w:r>
      <w:r>
        <w:rPr>
          <w:rFonts w:hint="eastAsia"/>
          <w:color w:val="333333"/>
          <w:sz w:val="32"/>
          <w:szCs w:val="32"/>
        </w:rPr>
        <w:t>筼筜</w:t>
      </w:r>
      <w:r>
        <w:rPr>
          <w:rFonts w:ascii="仿宋_GB2312" w:hAnsi="仿宋_GB2312" w:cs="仿宋_GB2312" w:hint="eastAsia" w:eastAsia="仿宋_GB2312"/>
          <w:color w:val="333333"/>
          <w:sz w:val="32"/>
          <w:szCs w:val="32"/>
        </w:rPr>
        <w:t>湖的水质进行监测，定期纳潮排水，做好水体交换工作，保持</w:t>
      </w:r>
      <w:r>
        <w:rPr>
          <w:rFonts w:hint="eastAsia"/>
          <w:color w:val="333333"/>
          <w:sz w:val="32"/>
          <w:szCs w:val="32"/>
        </w:rPr>
        <w:t>筼筜</w:t>
      </w:r>
      <w:r>
        <w:rPr>
          <w:rFonts w:ascii="仿宋_GB2312" w:hAnsi="仿宋_GB2312" w:cs="仿宋_GB2312" w:hint="eastAsia" w:eastAsia="仿宋_GB2312"/>
          <w:color w:val="333333"/>
          <w:sz w:val="32"/>
          <w:szCs w:val="32"/>
        </w:rPr>
        <w:t>湖的正常水位，水质指标达到国家《景观娱乐用水水质标准》Ｂ类标准。</w:t>
      </w:r>
    </w:p>
    <w:p>
      <w:pPr>
        <w:pStyle w:val="Style14"/>
        <w:widowControl w:val="false"/>
        <w:shd w:fill="FFFFFF" w:val="clear"/>
        <w:spacing w:lineRule="exact" w:line="580" w:before="0" w:after="0"/>
        <w:rPr/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第十二条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　湖区内排洪沟、涵洞、西堤闸门、排涝泵站及其排水渠内，禁止设置影响洪水泄流、水体交换的障碍物。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第十三条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　市环保行政主管部门应当加强对</w:t>
      </w:r>
      <w:r>
        <w:rPr>
          <w:rFonts w:hint="eastAsia"/>
          <w:color w:val="333333"/>
          <w:sz w:val="32"/>
          <w:szCs w:val="32"/>
        </w:rPr>
        <w:t>筼筜</w:t>
      </w:r>
      <w:r>
        <w:rPr>
          <w:rFonts w:ascii="仿宋_GB2312" w:hAnsi="仿宋_GB2312" w:cs="仿宋_GB2312" w:hint="eastAsia" w:eastAsia="仿宋_GB2312"/>
          <w:color w:val="333333"/>
          <w:sz w:val="32"/>
          <w:szCs w:val="32"/>
        </w:rPr>
        <w:t>湖汇水区域内排污单位的监督和管理，实现达标排放，并进行定期检查和监测，定期向市人民政府报告湖区环境质量。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　第十四条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　当湖区水体因故不能正常交换时，</w:t>
      </w:r>
      <w:r>
        <w:rPr>
          <w:rFonts w:hint="eastAsia"/>
          <w:color w:val="333333"/>
          <w:sz w:val="32"/>
          <w:szCs w:val="32"/>
        </w:rPr>
        <w:t>筼筜</w:t>
      </w:r>
      <w:r>
        <w:rPr>
          <w:rFonts w:ascii="仿宋_GB2312" w:hAnsi="仿宋_GB2312" w:cs="仿宋_GB2312" w:hint="eastAsia" w:eastAsia="仿宋_GB2312"/>
          <w:color w:val="333333"/>
          <w:sz w:val="32"/>
          <w:szCs w:val="32"/>
        </w:rPr>
        <w:t>湖区管理机构应当及时向市市政行政主管部门报告，并采取补救措施。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在</w:t>
      </w:r>
      <w:r>
        <w:rPr>
          <w:rFonts w:hint="eastAsia"/>
          <w:color w:val="333333"/>
          <w:sz w:val="32"/>
          <w:szCs w:val="32"/>
        </w:rPr>
        <w:t>筼筜</w:t>
      </w:r>
      <w:r>
        <w:rPr>
          <w:rFonts w:ascii="仿宋_GB2312" w:hAnsi="仿宋_GB2312" w:cs="仿宋_GB2312" w:hint="eastAsia" w:eastAsia="仿宋_GB2312"/>
          <w:color w:val="333333"/>
          <w:sz w:val="32"/>
          <w:szCs w:val="32"/>
        </w:rPr>
        <w:t>湖汇水区域内的单位因发生事故造成</w:t>
      </w:r>
      <w:r>
        <w:rPr>
          <w:rFonts w:hint="eastAsia"/>
          <w:color w:val="333333"/>
          <w:sz w:val="32"/>
          <w:szCs w:val="32"/>
        </w:rPr>
        <w:t>筼筜</w:t>
      </w:r>
      <w:r>
        <w:rPr>
          <w:rFonts w:ascii="仿宋_GB2312" w:hAnsi="仿宋_GB2312" w:cs="仿宋_GB2312" w:hint="eastAsia" w:eastAsia="仿宋_GB2312"/>
          <w:color w:val="333333"/>
          <w:sz w:val="32"/>
          <w:szCs w:val="32"/>
        </w:rPr>
        <w:t>湖水体污染的，应当及时向</w:t>
      </w:r>
      <w:r>
        <w:rPr>
          <w:rFonts w:hint="eastAsia"/>
          <w:color w:val="333333"/>
          <w:sz w:val="32"/>
          <w:szCs w:val="32"/>
        </w:rPr>
        <w:t>筼筜</w:t>
      </w:r>
      <w:r>
        <w:rPr>
          <w:rFonts w:ascii="仿宋_GB2312" w:hAnsi="仿宋_GB2312" w:cs="仿宋_GB2312" w:hint="eastAsia" w:eastAsia="仿宋_GB2312"/>
          <w:color w:val="333333"/>
          <w:sz w:val="32"/>
          <w:szCs w:val="32"/>
        </w:rPr>
        <w:t>湖区管理机构和市环保行政主管部门报告，并采取补救措施。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第十五条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　</w:t>
      </w:r>
      <w:r>
        <w:rPr>
          <w:rFonts w:hint="eastAsia"/>
          <w:color w:val="333333"/>
          <w:sz w:val="32"/>
          <w:szCs w:val="32"/>
        </w:rPr>
        <w:t>筼筜</w:t>
      </w:r>
      <w:r>
        <w:rPr>
          <w:rFonts w:ascii="仿宋_GB2312" w:hAnsi="仿宋_GB2312" w:cs="仿宋_GB2312" w:hint="eastAsia" w:eastAsia="仿宋_GB2312"/>
          <w:color w:val="333333"/>
          <w:sz w:val="32"/>
          <w:szCs w:val="32"/>
        </w:rPr>
        <w:t>湖区管理机构应当对湖区内沉砂池定期清淤，对湖区水域定期疏浚，在正常情况下确保</w:t>
      </w:r>
      <w:r>
        <w:rPr>
          <w:rFonts w:hint="eastAsia"/>
          <w:color w:val="333333"/>
          <w:sz w:val="32"/>
          <w:szCs w:val="32"/>
        </w:rPr>
        <w:t>筼筜</w:t>
      </w:r>
      <w:r>
        <w:rPr>
          <w:rFonts w:ascii="仿宋_GB2312" w:hAnsi="仿宋_GB2312" w:cs="仿宋_GB2312" w:hint="eastAsia" w:eastAsia="仿宋_GB2312"/>
          <w:color w:val="333333"/>
          <w:sz w:val="32"/>
          <w:szCs w:val="32"/>
        </w:rPr>
        <w:t>湖驳岸基础外水深一点五米以上。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第十六条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　在湖区内进行大型公共活动，由主办单位向</w:t>
      </w:r>
      <w:r>
        <w:rPr>
          <w:rFonts w:hint="eastAsia"/>
          <w:color w:val="333333"/>
          <w:sz w:val="32"/>
          <w:szCs w:val="32"/>
        </w:rPr>
        <w:t>筼筜</w:t>
      </w:r>
      <w:r>
        <w:rPr>
          <w:rFonts w:ascii="仿宋_GB2312" w:hAnsi="仿宋_GB2312" w:cs="仿宋_GB2312" w:hint="eastAsia" w:eastAsia="仿宋_GB2312"/>
          <w:color w:val="333333"/>
          <w:sz w:val="32"/>
          <w:szCs w:val="32"/>
        </w:rPr>
        <w:t>湖区管理机构提出申请，经市市政行政主管部门审核同意报市人民政府批准。公共活动的主办单位必须采取必要的安全、保洁、保护措施。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第十七条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　在湖区内停放车辆必须服从</w:t>
      </w:r>
      <w:r>
        <w:rPr>
          <w:rFonts w:hint="eastAsia"/>
          <w:color w:val="333333"/>
          <w:sz w:val="32"/>
          <w:szCs w:val="32"/>
        </w:rPr>
        <w:t>筼筜</w:t>
      </w:r>
      <w:r>
        <w:rPr>
          <w:rFonts w:ascii="仿宋_GB2312" w:hAnsi="仿宋_GB2312" w:cs="仿宋_GB2312" w:hint="eastAsia" w:eastAsia="仿宋_GB2312"/>
          <w:color w:val="333333"/>
          <w:sz w:val="32"/>
          <w:szCs w:val="32"/>
        </w:rPr>
        <w:t>湖区管理机构统一管理，禁止机动车在湖区林荫步行道上行驶。</w:t>
      </w:r>
    </w:p>
    <w:p>
      <w:pPr>
        <w:pStyle w:val="Style14"/>
        <w:widowControl w:val="false"/>
        <w:shd w:fill="FFFFFF" w:val="clear"/>
        <w:spacing w:lineRule="exact" w:line="580" w:before="0" w:after="0"/>
        <w:rPr/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　第十八条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　在湖区内禁止下列行为：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（一）设置洗车场、加油站；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（二）清洗有毒有害物质及其它污物；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（三）捕杀飞禽；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（四）在闸口垂钓；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（五）养殖捕捞；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（六）在公共区域内违章搭盖和堆放杂物、擅自挖土取沙；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（七）乱涂划、乱张贴和晾晒有碍观瞻的物品；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（八）损坏市政公用设施、园林绿化设施；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（九）焚烧废弃物及树叶枯草，野外烧烤；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（十）设置户外商业广告。</w:t>
      </w:r>
    </w:p>
    <w:p>
      <w:pPr>
        <w:pStyle w:val="Style14"/>
        <w:widowControl w:val="false"/>
        <w:shd w:fill="FFFFFF" w:val="clear"/>
        <w:spacing w:lineRule="exact" w:line="580" w:before="0" w:after="0"/>
        <w:rPr/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第十九条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　违反本办法规定在湖区填湖造地，或者不依照湖区建设规划进行建设的，责令改正，可处以五万元以上二十万元以下罚款。</w:t>
      </w:r>
    </w:p>
    <w:p>
      <w:pPr>
        <w:pStyle w:val="Style14"/>
        <w:widowControl w:val="false"/>
        <w:shd w:fill="FFFFFF" w:val="clear"/>
        <w:spacing w:lineRule="exact" w:line="580" w:before="0" w:after="0"/>
        <w:rPr/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第二十条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　违反本办法规定向湖区水域排放污水的，责令改正，可处以一万元以上十万元以下罚款。</w:t>
      </w:r>
    </w:p>
    <w:p>
      <w:pPr>
        <w:pStyle w:val="Style14"/>
        <w:widowControl w:val="false"/>
        <w:shd w:fill="FFFFFF" w:val="clear"/>
        <w:spacing w:lineRule="exact" w:line="580" w:before="0" w:after="0"/>
        <w:rPr/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　第二十一条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　违反本办法规定在湖区排洪沟、涵洞、西堤闸门、排涝泵站及其排水渠内设置障碍物的，责令改正，可处以一千元以上一万元以下罚款。</w:t>
      </w:r>
    </w:p>
    <w:p>
      <w:pPr>
        <w:pStyle w:val="Style14"/>
        <w:widowControl w:val="false"/>
        <w:shd w:fill="FFFFFF" w:val="clear"/>
        <w:spacing w:lineRule="exact" w:line="580" w:before="0" w:after="0"/>
        <w:rPr/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　第二十二条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　违反本办法第十条第一款、第十四条第二款、第十六条规定的，责令改正，可处以五百元以上五千元以下罚款。</w:t>
      </w:r>
    </w:p>
    <w:p>
      <w:pPr>
        <w:pStyle w:val="Style14"/>
        <w:widowControl w:val="false"/>
        <w:shd w:fill="FFFFFF" w:val="clear"/>
        <w:spacing w:lineRule="exact" w:line="580" w:before="0" w:after="0"/>
        <w:rPr/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第二十三条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　违反本办法第十七条规定在湖区内停放车辆，在林荫步行道上行驶机动车辆的，责令改正，可处以五十元以上五百元以下罚款。造成损失的，应当依法承担赔偿责任。</w:t>
      </w:r>
    </w:p>
    <w:p>
      <w:pPr>
        <w:pStyle w:val="Style14"/>
        <w:widowControl w:val="false"/>
        <w:shd w:fill="FFFFFF" w:val="clear"/>
        <w:spacing w:lineRule="exact" w:line="580" w:before="0" w:after="0"/>
        <w:rPr/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第二十四条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　违反本办法第十八条第一、二、三、四、五项之一的，责令改正，可处以二百元以上二千元以下罚款。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违反本办法第十八条第六、七、八、九、十项之一的，依照有关法律、法规规定的处罚种类和幅度予以处罚。</w:t>
      </w:r>
    </w:p>
    <w:p>
      <w:pPr>
        <w:pStyle w:val="Style14"/>
        <w:widowControl w:val="false"/>
        <w:shd w:fill="FFFFFF" w:val="clear"/>
        <w:spacing w:lineRule="exact" w:line="580" w:before="0" w:after="0"/>
        <w:rPr/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第二十五条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　当事人对具体行政行为不服的，可以依法申请复议或者提起行政诉讼。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逾期不申请复议，不起诉，又不履行处罚决定的，由作出处罚决定的机关向人民法院申请依法强制执行。</w:t>
      </w:r>
    </w:p>
    <w:p>
      <w:pPr>
        <w:pStyle w:val="Style14"/>
        <w:widowControl w:val="false"/>
        <w:shd w:fill="FFFFFF" w:val="clear"/>
        <w:spacing w:lineRule="exact" w:line="580" w:before="0" w:after="0"/>
        <w:rPr/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第二十六条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　市市政行政主管部门和</w:t>
      </w:r>
      <w:r>
        <w:rPr>
          <w:rFonts w:hint="eastAsia"/>
          <w:color w:val="333333"/>
          <w:sz w:val="32"/>
          <w:szCs w:val="32"/>
        </w:rPr>
        <w:t>筼筜</w:t>
      </w:r>
      <w:r>
        <w:rPr>
          <w:rFonts w:ascii="仿宋_GB2312" w:hAnsi="仿宋_GB2312" w:cs="仿宋_GB2312" w:hint="eastAsia" w:eastAsia="仿宋_GB2312"/>
          <w:color w:val="333333"/>
          <w:sz w:val="32"/>
          <w:szCs w:val="32"/>
        </w:rPr>
        <w:t>湖区管理机构及其工作人员，必须忠于职守，秉公执法。对滥用职权、玩忽职守、徇私舞弊的，由其所在单位或者上级主管机关视情节轻重给予行政处分，构成犯罪的，移送司法机关依法追究刑事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责任。</w:t>
      </w:r>
    </w:p>
    <w:p>
      <w:pPr>
        <w:pStyle w:val="Style14"/>
        <w:widowControl w:val="false"/>
        <w:shd w:fill="FFFFFF" w:val="clear"/>
        <w:spacing w:lineRule="exact" w:line="580" w:before="0" w:after="0"/>
        <w:rPr/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第二十七条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　本办法的具体应用问题由厦门市人民政府负责解释。</w:t>
      </w:r>
    </w:p>
    <w:p>
      <w:pPr>
        <w:pStyle w:val="Style14"/>
        <w:widowControl w:val="false"/>
        <w:shd w:fill="FFFFFF" w:val="clear"/>
        <w:spacing w:lineRule="exact" w:line="580" w:before="0" w:after="0"/>
        <w:rPr/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第二十八条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　本办法自１９９７年１０月１日起施行。</w:t>
      </w:r>
    </w:p>
    <w:sectPr>
      <w:footerReference w:type="default" r:id="rId2"/>
      <w:type w:val="nextPage"/>
      <w:pgSz w:w="11906" w:h="16838"/>
      <w:pgMar w:left="1587" w:right="1587" w:gutter="0" w:header="0" w:top="2041" w:footer="1644" w:bottom="198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楷体_GB2312">
    <w:charset w:val="86"/>
    <w:family w:val="modern"/>
    <w:pitch w:val="default"/>
  </w:font>
  <w:font w:name="仿宋_GB2312">
    <w:charset w:val="86"/>
    <w:family w:val="modern"/>
    <w:pitch w:val="default"/>
  </w:font>
  <w:font w:name="黑体">
    <w:altName w:val="SimHei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/>
    </w:pPr>
    <w:r>
      <w:rPr/>
    </w:r>
    <w:r>
      <mc:AlternateContent>
        <mc:Choice Requires="wps">
          <w:drawing>
            <wp:anchor distT="0" distB="0" distL="0" distR="0" simplePos="0" relativeHeight="7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542925" cy="30226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2925" cy="302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jc w:val="center"/>
                            <w:rPr>
                              <w:rStyle w:val="PageNumber"/>
                              <w:rFonts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Style w:val="PageNumber"/>
                              <w:rFonts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Style w:val="PageNumber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rStyle w:val="PageNumber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  <w:rFonts w:hint="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2.75pt;height:23.8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jc w:val="center"/>
                      <w:rPr>
                        <w:rStyle w:val="PageNumber"/>
                        <w:rFonts w:hint="eastAsia"/>
                        <w:sz w:val="28"/>
                        <w:szCs w:val="28"/>
                      </w:rPr>
                    </w:pPr>
                    <w:r>
                      <w:rPr>
                        <w:rStyle w:val="PageNumber"/>
                        <w:rFonts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Style w:val="PageNumber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PageNumber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PageNumber"/>
                        <w:sz w:val="28"/>
                        <w:szCs w:val="28"/>
                      </w:rPr>
                      <w:t>6</w:t>
                    </w:r>
                    <w:r>
                      <w:rPr>
                        <w:rStyle w:val="PageNumber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Style w:val="PageNumber"/>
                        <w:rFonts w:hint="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paragraph" w:styleId="Heading2">
    <w:name w:val="heading 2"/>
    <w:basedOn w:val="Normal"/>
    <w:next w:val="BodyText"/>
    <w:qFormat/>
    <w:pPr>
      <w:widowControl/>
      <w:numPr>
        <w:ilvl w:val="1"/>
        <w:numId w:val="1"/>
      </w:numPr>
      <w:spacing w:before="280" w:after="280"/>
      <w:jc w:val="start"/>
      <w:outlineLvl w:val="1"/>
    </w:pPr>
    <w:rPr>
      <w:rFonts w:ascii="宋体;SimSun" w:hAnsi="宋体;SimSun" w:cs="宋体;SimSun"/>
      <w:b/>
      <w:bCs/>
      <w:kern w:val="0"/>
      <w:sz w:val="36"/>
      <w:szCs w:val="36"/>
    </w:rPr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character" w:styleId="Char">
    <w:name w:val="页脚 Char"/>
    <w:qFormat/>
    <w:rPr>
      <w:rFonts w:eastAsia="宋体;SimSun"/>
      <w:kern w:val="2"/>
      <w:sz w:val="18"/>
      <w:szCs w:val="18"/>
      <w:lang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4">
    <w:name w:val="普通(网站)"/>
    <w:basedOn w:val="Normal"/>
    <w:qFormat/>
    <w:pPr>
      <w:widowControl/>
      <w:spacing w:before="280" w:after="280"/>
      <w:jc w:val="start"/>
    </w:pPr>
    <w:rPr>
      <w:rFonts w:ascii="宋体;SimSun" w:hAnsi="宋体;SimSun" w:cs="宋体;SimSun"/>
      <w:kern w:val="0"/>
      <w:sz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2016-10-17T12:29:00Z</dcterms:created>
  <dc:creator>微软用户</dc:creator>
  <dc:description/>
  <cp:keywords/>
  <dc:language>en-US</dc:language>
  <cp:lastModifiedBy>汪东升</cp:lastModifiedBy>
  <dcterms:modified xsi:type="dcterms:W3CDTF">2017-04-11T14:57:00Z</dcterms:modified>
  <cp:revision>11</cp:revision>
  <dc:subject/>
  <dc:title/>
</cp:coreProperties>
</file>