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/>
        <w:ind w:hangingChars="853" w:startChars="0" w:start="0" w:endChars="0" w:end="0"/>
        <w:jc w:val="center"/>
        <w:rPr>
          <w:rFonts w:ascii="仿宋_GB2312" w:hAnsi="仿宋_GB2312" w:eastAsia="仿宋_GB2312" w:cs="华文中宋" w:hint="eastAsia"/>
          <w:b/>
          <w:bCs/>
          <w:color w:val="000000"/>
          <w:sz w:val="32"/>
          <w:szCs w:val="32"/>
        </w:rPr>
      </w:pPr>
      <w:r>
        <w:rPr>
          <w:rFonts w:eastAsia="仿宋_GB2312" w:cs="华文中宋" w:hint="eastAsia" w:ascii="仿宋_GB2312" w:hAnsi="仿宋_GB2312"/>
          <w:b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hangingChars="853" w:startChars="0" w:start="0" w:endChars="0" w:end="0"/>
        <w:jc w:val="center"/>
        <w:rPr>
          <w:rFonts w:ascii="仿宋_GB2312" w:hAnsi="仿宋_GB2312" w:eastAsia="仿宋_GB2312" w:cs="华文中宋" w:hint="eastAsia"/>
          <w:b/>
          <w:bCs/>
          <w:color w:val="000000"/>
          <w:sz w:val="32"/>
          <w:szCs w:val="32"/>
        </w:rPr>
      </w:pPr>
      <w:r>
        <w:rPr>
          <w:rFonts w:eastAsia="仿宋_GB2312" w:cs="华文中宋" w:hint="eastAsia" w:ascii="仿宋_GB2312" w:hAnsi="仿宋_GB2312"/>
          <w:b/>
          <w:bCs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hangingChars="853" w:startChars="0" w:start="0" w:endChars="0" w:end="0"/>
        <w:jc w:val="center"/>
        <w:rPr>
          <w:rFonts w:ascii="宋体;SimSun" w:hAnsi="宋体;SimSun" w:cs="华文中宋" w:hint="eastAsia"/>
          <w:color w:val="000000"/>
          <w:sz w:val="44"/>
          <w:szCs w:val="44"/>
        </w:rPr>
      </w:pPr>
      <w:r>
        <w:rPr>
          <w:rFonts w:ascii="宋体;SimSun" w:hAnsi="宋体;SimSun" w:cs="华文中宋" w:hint="eastAsia"/>
          <w:color w:val="000000"/>
          <w:sz w:val="44"/>
          <w:szCs w:val="44"/>
        </w:rPr>
        <w:t>厦门经济特区无照无证经营查处办法</w:t>
      </w:r>
    </w:p>
    <w:p>
      <w:pPr>
        <w:pStyle w:val="Normal"/>
        <w:snapToGrid w:val="false"/>
        <w:spacing w:lineRule="exact" w:line="560"/>
        <w:ind w:hangingChars="853" w:startChars="0" w:start="0" w:endChars="0" w:end="0"/>
        <w:jc w:val="center"/>
        <w:rPr>
          <w:rFonts w:ascii="宋体;SimSun" w:hAnsi="宋体;SimSun" w:cs="宋体;SimSun" w:hint="eastAsia"/>
          <w:bCs/>
          <w:color w:val="000000"/>
          <w:sz w:val="44"/>
          <w:szCs w:val="44"/>
        </w:rPr>
      </w:pPr>
      <w:r>
        <w:rPr>
          <w:rFonts w:cs="宋体;SimSun" w:hint="eastAsia" w:ascii="宋体;SimSun" w:hAnsi="宋体;SimSun"/>
          <w:bCs/>
          <w:color w:val="000000"/>
          <w:sz w:val="44"/>
          <w:szCs w:val="44"/>
        </w:rPr>
      </w:r>
    </w:p>
    <w:p>
      <w:pPr>
        <w:pStyle w:val="Normal"/>
        <w:tabs>
          <w:tab w:val="clear" w:pos="420"/>
          <w:tab w:val="left" w:pos="4140" w:leader="none"/>
        </w:tabs>
        <w:snapToGrid w:val="false"/>
        <w:spacing w:lineRule="exact" w:line="560"/>
        <w:ind w:firstLineChars="0" w:firstLine="0" w:startChars="200" w:endChars="200"/>
        <w:rPr/>
      </w:pP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（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2002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7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3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 xml:space="preserve">日厦门市第十一届人民代表大会常务委员会第四十四次会议通过  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2014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8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cs="仿宋_GB2312" w:hint="eastAsia" w:ascii="楷体_GB2312" w:hAnsi="楷体_GB2312"/>
          <w:color w:val="000000"/>
          <w:sz w:val="32"/>
          <w:szCs w:val="32"/>
        </w:rPr>
        <w:t>29</w:t>
      </w:r>
      <w:r>
        <w:rPr>
          <w:rFonts w:ascii="楷体_GB2312" w:hAnsi="楷体_GB2312" w:cs="仿宋_GB2312" w:hint="eastAsia" w:eastAsia="楷体_GB2312"/>
          <w:color w:val="000000"/>
          <w:sz w:val="32"/>
          <w:szCs w:val="32"/>
        </w:rPr>
        <w:t>日厦门市第十四届人民代表大会常务委员会第二十次会议修订）</w:t>
      </w:r>
    </w:p>
    <w:p>
      <w:pPr>
        <w:pStyle w:val="Normal"/>
        <w:snapToGrid w:val="false"/>
        <w:spacing w:lineRule="exact" w:line="560"/>
        <w:ind w:firstLineChars="105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第一条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为了实施《厦门经济特区商事登记条例》，规范查处无照、无证经营行为，保护经营者和消费者的合法权益，维护市场秩序，遵循有关法律、行政法规的基本原则，结合厦门经济特区实际，制定本办法。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第二条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本办法所称无照经营，是指未经商事登记机关设立登记，擅自以商事主体名义从事一般经营项目的行为。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本办法所称无证经营，是指：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（一）依法应当取得行政许可而未取得，从事行政许可经营项目的行为；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（二）超出行政许可核定的范围从事行政许可经营项目的行为；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（三）行政许可有效期届满或者被依法吊销、撤销、注销后，继续从事该行政许可经营项目的行为。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  <w:u w:val="single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第三条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商事登记机关、有关行政许可机关和监管部门应当依法履行职责。商事登记机关负责查处无照经营行为，有关行政许可机关、监管部门在各自职责范围内负责查处无证经营行为。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第四条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无照、无证经营查处应当遵循教育、引导与查处相结合的原则，督促引导经营者办理相应手续，合法经营。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第五条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市人民政府按照谁许可谁监管的原则，建立健全无照、无证经营查处工作机制，协调、督促无照、无证经营查处工作。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第六条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任何单位和个人有权举报无照、无证经营行为。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商事登记机关、有关行政许可机关和监管部门应当公开受理举报的电话号码、电子信箱、通信地址等联系方式，并为举报人保密。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第七条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商事登记机关、有关行政许可机关和监管部门接到无照、无证经营举报或者在日常监督检查中发现无照、无证经营行为的，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应当立即核实，并依法查处；经核实不属于本机关查处职责的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，应当在三个工作日内将相关信息抄送具有查处职责的机关。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接到抄送信息的机关应当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依法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及时处理。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第八条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商事登记机关、有关行政许可机关和监管部门在查处无照、无证经营行为时可以行使下列职权：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（一）责令停止相关经营活动；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（二）向与无照、无证经营有关的单位和个人调查、了解有关情况；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（三）进入无照、无证经营场所实施现场检查；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（四）查阅、调阅、复制、拍摄、录制与无照、无证经营行为有关的合同、票据、账簿以及其他相关资料。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有关行政许可机关和监管部门在查处无证经营行为时，同时可以行使法律、法规规定的其他相应职权。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第九条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商事主体经营项目涉及的经营场所，依照法律、法规应当取得规划、环保、公安、消防、文化、卫生等行政许可机关和市人民政府派出机构批准。经营者未经批准擅自从事经营活动的，按照无证经营查处。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商事主体同一经营项目涉及多项行政许可未取得的无证经营行为，行政许可机关、监管部门应当依照法定职责查处。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  <w:bdr w:val="single" w:sz="4" w:space="0" w:color="000000"/>
          <w:shd w:fill="E5E5E5" w:val="clear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市、区人民政府可以按照无证经营项目的类别确定主查处行政许可机关、监管部门。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有关行政许可机关、监管部门对查处的无证经营案件管辖有争议的，由市、区人民政府指定管辖。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第十一条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有关行政许可机关、监管部门在查处无证经营行为时，依照法律、法规的规定实施查封、扣押等行政强制措施。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具有下列情形之一的无证经营行为，有关行政许可机关、监管部门可以查封其从事无证经营的场所或者查封、扣押专门用于无证经营的工具、设备、原材料、产品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(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商品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)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等财物：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（一）属于市人民政府公布的商事主体登记实施前置行政许可项目的；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（二）经营场所设在市人民政府公布的经营场所禁设区域的；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（三）擅自设立互联网上网服务营业场所、娱乐场所、印刷企业和擅自从事音像制品经营、营业性演出活动的。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第十二条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对依法解除查封、扣押的财物应当立即退还当事人。当事人不明确的，行政许可机关、监管部门应当采取公告的方式通知当事人在六个月内领取财物，期限届满仍未领取的，作出解除查封、扣押决定的行政许可机关、监管部门可以按照有关规定处理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第十三条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对无照经营行为，由商事登记机关责令经营者停止无照经营行为；拒不停止的，处以五千元以上二万元以下罚款。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已经依法取得所有前置许可证或者其他批准文件，但未经商事登记机关设立登记，擅自以商事主体名义从事经营活动的，由商事登记机关按照前款规定予以行政处罚。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第十四条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有关行政许可机关、监管部门在查处无证经营行为时，应当依照相关法律、法规对无证经营行为处罚的种类和幅度进行处罚。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但法律、法规对无证经营行为没有规定行政处罚的，由有关行政许可机关、监管部门责令经营者停止违法行为，没收违法所得，并处以五千元以上二万元以下罚款；无证经营行为规模较大、社会危害严重的，并处二万元以上二十万元以下罚款；无证经营行为涉及危害人体健康、存在重大安全隐患、威胁公共安全、破坏环境资源，没收专门用于从事无证经营的工具、设备、原材料、产品（商品）等财物，并处十万元以上五十万元以下罚款，对其中社会危害特别严重或者造成严重危害后果的，处以五十万元以上一百万元以下罚款；构成犯罪的，依法追究刑事责任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第十五条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当事人擅自动用、调换、转移、损毁被查封、扣押财物的，由有关行政许可机关、监管部门责令改正，处被动用、调换、转移、损毁财物货值百分之五以上百分之二十以下罚款；拒不改正的，处被动用、调换、转移、损毁财物货值一倍以上三倍以下罚款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第十六条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商事登记机关、有关行政许可机关、监管部门应当制定行政处罚自由裁量基准并向社会公布。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第十七条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　商事登记机关、有关行政许可机关、监管部门及其工作人员在查处无照、无证经营过程中，有下列情形之一的，对单位由其上级主管机关或者同级监察机关监督问责，并依法追究相应的责任；对直接负责的主管人员和其他直接责任人员，按照规定给予行政处分；构成犯罪的，依法追究刑事责任：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（一）不履行或者不正确履行法定职责的；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（二）违反法定程序或者超越法定职权实施行政强制措施和行政处罚的；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（三）辱骂、威胁、殴打当事人或者违法损毁当事人的物品的；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（四）截留、挪用、私分罚没款项、财物或者使用、调换、损毁、私分查封、扣押的财物的。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第十八条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在市、区、镇人民政府及街道办事处允许的交易场所和时间内进行的早市、夜市、集市等经营活动，不适用本办法。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color w:val="000000"/>
          <w:sz w:val="32"/>
          <w:szCs w:val="32"/>
        </w:rPr>
        <w:t>第十九条　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本办法自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2014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10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日起施行。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2002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7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3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日厦门市第十一届人民代表大会常务委员会第四十四次会议通过的《厦门经济特区查处无照经营办法》同时废止。</w:t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</w:r>
    </w:p>
    <w:p>
      <w:pPr>
        <w:pStyle w:val="Normal"/>
        <w:snapToGrid w:val="false"/>
        <w:spacing w:lineRule="exact" w:line="560"/>
        <w:ind w:firstLineChars="200" w:startChars="0" w:start="0" w:endChars="0" w:end="0"/>
        <w:rPr>
          <w:rFonts w:ascii="仿宋_GB2312" w:hAnsi="仿宋_GB2312" w:eastAsia="仿宋_GB2312" w:hint="eastAsia"/>
          <w:color w:val="000000"/>
          <w:sz w:val="32"/>
          <w:szCs w:val="32"/>
        </w:rPr>
      </w:pPr>
      <w:r>
        <w:rPr>
          <w:rFonts w:eastAsia="仿宋_GB2312" w:hint="eastAsia" w:ascii="仿宋_GB2312" w:hAnsi="仿宋_GB2312"/>
          <w:color w:val="000000"/>
          <w:sz w:val="32"/>
          <w:szCs w:val="32"/>
        </w:rPr>
      </w:r>
    </w:p>
    <w:sectPr>
      <w:footerReference w:type="default" r:id="rId2"/>
      <w:type w:val="nextPage"/>
      <w:pgSz w:w="11906" w:h="16838"/>
      <w:pgMar w:left="1531" w:right="1276" w:gutter="0" w:header="0" w:top="2098" w:footer="1531" w:bottom="192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  <w:font w:name="黑体">
    <w:altName w:val="SimHei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6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纯文本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2014-12-22T10:14:00Z</dcterms:created>
  <dc:creator>叶兆萍</dc:creator>
  <dc:description/>
  <cp:keywords/>
  <dc:language>en-US</dc:language>
  <cp:lastModifiedBy>汪东升</cp:lastModifiedBy>
  <cp:lastPrinted>2011-09-01T08:22:00Z</cp:lastPrinted>
  <dcterms:modified xsi:type="dcterms:W3CDTF">2017-04-11T15:02:00Z</dcterms:modified>
  <cp:revision>4</cp:revision>
  <dc:subject/>
  <dc:title>厦门市人民代表大会常务委员会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