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厦门经济特区水资源条例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（２０１１年１２月１日厦门市第十三届人民代表大会常务委员会第三十三次会议通过）</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5" w:end="0"/>
        <w:jc w:val="center"/>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水资源规划和开发利用</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水资源和水域保护</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水资源配置和节约</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 xml:space="preserve">第六章　附则 </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为了保护水资源，发挥水资源的综合效益，实现水资源可持续利用，遵循《中华人民共和国水法》及其他有关法律、行政法规的基本原则，结合本经济特区实际，制定本条例。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本条例所称水资源，包括本行政区域内地表水、地下水和区域外调入水。</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市、区水行政主管部门负责本辖区内水资源的统一管理和监督工作。</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其他有关部门在各自职责范围内，负责水资源的相关管理工作。</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第四条</w:t>
      </w:r>
      <w:r>
        <w:rPr>
          <w:rFonts w:ascii="仿宋_GB2312" w:hAnsi="仿宋_GB2312" w:hint="eastAsia" w:eastAsia="仿宋_GB2312"/>
          <w:color w:val="333333"/>
          <w:sz w:val="32"/>
          <w:szCs w:val="32"/>
        </w:rPr>
        <w:t>　市、区人民政府应当将水资源开发、利用、节约和保护列入本级国民经济和社会发展规划。城市空间发展规划、重大建设项目布局和产业结构调整，应当与水资源承载能力及水环境相适应。</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第五条</w:t>
      </w:r>
      <w:r>
        <w:rPr>
          <w:rFonts w:ascii="仿宋_GB2312" w:hAnsi="仿宋_GB2312" w:hint="eastAsia" w:eastAsia="仿宋_GB2312"/>
          <w:color w:val="333333"/>
          <w:sz w:val="32"/>
          <w:szCs w:val="32"/>
        </w:rPr>
        <w:t>　市、区人民政府建立用水总量控制制度、用水效率控制制度和水功能区限制纳污制度，实行取水许可制度和水资源有偿使用制度，将主要控制性指标纳入经济社会发展综合评价体系。</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市、区人民政府应当建立水资源保护的目标责任制和考核评价制度。</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市水行政主管部门应当会同发展改革、环境保护行政主管部门按照有关规定，对市人民政府有关部门和区人民政府水资源保护的指标落实情况进行年度考核，并将考核结果报市人民政府。</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水资源规划和开发利用</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市水行政主管部门应当会同有关部门和区人民政府编制市水资源综合规划和东西溪、后溪、九溪、官浔溪河流流域综合规划，报市人民政府批准。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区水行政主管部门应当会同有关部门编制区水资源综合规划以及前款规定以外的其他河流流域综合规划，报区人民政府批准并报市水行政主管部门备案。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水行政主管部门组织编制水资源专业规划，征求有关部门意见后，报本级人民政府批准。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市发展改革及其他有关部门制定本市产业政策、投资项目指导目录时，应当综合考虑水资源条件和水污染防治要求，限制高耗水项目，禁止对水体污染严重的项目。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水资源的开发、利用应当严格控制开发地下水，优先使用地表水，合理配置区域外调入水，鼓励循环用水和开发、利用再生水。</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市水行政主管部门应当会同国土资源行政主管部门根据地下水的分布、开发利用情况以及地质环境条件划定地下水禁止开采区和限制开采区，报市人民政府批准后公布。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地下水禁止开采区和限制开采区内，不得新建地下水取水工程，但对水质和水温有特殊需求确需在限制开采区内取用地下水的除外。水行政主管部门批准限制开采区内取水的，应当核定地下水开采量和年度用水计划。</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禁止开采区内已有的取水工程，限期封闭；限制开采区内已有的取水工程，应当逐年削减取水量。</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城市新区以及新建的开发区、工业区、住宅区等推行配套建设雨水集流、储水设施和再生水利用设施，提高水资源利用效率。</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市、区人民政府应当制定具体措施，鼓励企事业单位采用新工艺、利用新技术，大力推行雨水集流、储水设施和再生水利用。</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水资源和水域保护</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市人民政府应当依法划定饮用水水源一级保护区和二级保护区，经批准后在水源地醒目位置公告，并在饮用水水源保护区边界设置明确的地理界标和明显的警示标志。</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在饮用水水源保护区内禁止设置排污口。</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在饮用水水源一级保护区内禁止从事下列活动：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（一）向水体排放工业废水和生活污水；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（二）向水体倾倒废渣、动物尸体、各类垃圾等污染物或者其他有毒有害物；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（三）从事采矿、采石（砂）、爆破等活动；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（四）使用炸药、农药等有毒有害物品捕杀水生动物；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（五）设置畜禽养殖场或者在水体放养畜禽；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（六）从事餐饮、旅游、娱乐、运动等生产经营活动；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（七）新建、扩建、改建与供水设施和保护水源无关的建设项目；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（八）其他可能污染饮用水水体的活动。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第十六条</w:t>
      </w:r>
      <w:r>
        <w:rPr>
          <w:rFonts w:ascii="仿宋_GB2312" w:hAnsi="仿宋_GB2312" w:hint="eastAsia" w:eastAsia="仿宋_GB2312"/>
          <w:color w:val="333333"/>
          <w:sz w:val="32"/>
          <w:szCs w:val="32"/>
        </w:rPr>
        <w:t>　在饮用水水源二级保护区内禁止新建餐饮、旅游及其他污染水源的生产经营项目；已经批准设立的，应当采取措施，实现污染物零排放。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在饮用水水源保护区的水库正常水位淹没线以下的滩地和岸坡，禁止从事农作物种植和其他影响水源水质的活动。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建立水资源保护补偿机制。市人民政府负责对饮用水水源保护区内的自然人实施水资源保护直接补偿。水资源保护补偿的范围、方式、标准和补偿资金的筹措使用等具体办法由市人民政府另行制定。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在已经实施水资源保护补偿机制的饮用水水源保护区内，不得使用含磷洗涤剂、化肥、化学农药以及其他影响水源水质的有害物质。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交通运输行政主管部门应当在穿越饮用水水源保护区的公路、桥梁，设置警示标志，采取防护措施，防止运输的油类、化学品等危险物品污染饮用水水源。</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道路运输经营者应当采取防溢、防渗、防漏等安全措施，防止污染。</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市水行政主管部门会同市环境保护行政主管部门和其他有关部门以及区人民政府，编制河流、湖泊、水库的水功能区划，报市人民政府批准后公布。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第二十一条</w:t>
      </w:r>
      <w:r>
        <w:rPr>
          <w:rFonts w:ascii="仿宋_GB2312" w:hAnsi="仿宋_GB2312" w:hint="eastAsia" w:eastAsia="仿宋_GB2312"/>
          <w:color w:val="333333"/>
          <w:sz w:val="32"/>
          <w:szCs w:val="32"/>
        </w:rPr>
        <w:t>　在水功能区从事工程建设以及餐饮、旅游、水上运动等生产经营活动的，应当遵守水功能区的相关管理规定，不得影响水功能区及相邻水功能区的水域使用功能，不得降低水功能区水质目标确定的水质。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在未划定水功能区的水域进行生产经营活动的，不得影响相邻水功能区的水域使用功能。</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第二十二条</w:t>
      </w:r>
      <w:r>
        <w:rPr>
          <w:rFonts w:ascii="仿宋_GB2312" w:hAnsi="仿宋_GB2312" w:hint="eastAsia" w:eastAsia="仿宋_GB2312"/>
          <w:color w:val="333333"/>
          <w:sz w:val="32"/>
          <w:szCs w:val="32"/>
        </w:rPr>
        <w:t>　水行政主管部门应当完善水资源监测站网的规划和建设，加强对水功能区水质状况的监测，并将监测结果向环境保护行政主管部门通报。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水功能区的水质监测结果应当按照有关规定向社会公开。</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市水行政主管部门应当根据水功能区对水质要求、河流的水文特征以及水体的自然净化能力，定期核定水功能区的水域纳污能力，并向市环境保护行政主管部门提出该水域的限制排污总量意见。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市人民政府应当在东西溪、后溪、九溪和官浔溪流域范围内划定畜禽禁养区和限养区。其他流域范围内畜禽禁养区和限养区由所在区人民政府划定。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污水集中处理收集管网已经覆盖的地区，市水行政主管部门应当会同环境保护行政主管部门、所在区人民政府责令排污口设置单位或者个人限期关闭设置在江河、湖泊上的排污口。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污水集中处理收集管网尚未覆盖的地区，对单位和个人投资自建生活污水处理设施产生的运行费用，市、区人民政府予以适当补贴。</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水域管理单位应当加强水域保护，及时清理河流、水库、渠道内的水生植物和漂浮物等，并接受水行政主管部门的监督管理。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对淤积严重的河道、湖泊等，水行政主管部门应当组织水域管理单位进行清淤疏浚。</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水资源配置和节约</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实行水资源统一配置制度，按照内蓄外引、统一联网、优水优用原则统筹调配水资源。</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第二十八条</w:t>
      </w:r>
      <w:r>
        <w:rPr>
          <w:rFonts w:ascii="仿宋_GB2312" w:hAnsi="仿宋_GB2312" w:hint="eastAsia" w:eastAsia="仿宋_GB2312"/>
          <w:color w:val="333333"/>
          <w:sz w:val="32"/>
          <w:szCs w:val="32"/>
        </w:rPr>
        <w:t>　市水行政主管部门应当会同有关部门制定水中长期供求规划，报市发展改革行政主管部门批准后执行。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市水行政主管部门应当根据水资源综合规划、水中长期供求规划以及上一年度蓄水量、区域外调入水量、各水工程的供水能力等确定全市年度用水总量。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中型水库、跨区引水、区域外调入水等水工程管理单位应当根据供水片区内用水单位的用水需求、行业用水水平、经济技术条件等预测本工程的年度用水量，报市水行政主管部门。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市水行政主管部门依据全市年度用水总量、水工程管理单位申报的年度用水量，核定水工程管理单位的年度用水指标及其主要用水单位的用水指标，并通过座谈会、论证会、听证会等形式，广泛听取意见，研究论证，报市人民政府批准后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水工程管理单位的年度用水指标是水工程运行、调度的依据，有关单位应当严格执行，并接受水行政主管部门的监督管理。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纳入用水指标管理的用水单位具备下列条件的，水工程管理单位可以申请增加年度用水指标：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（一）生产经营规模扩大等发展需要；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（二）用水单耗达到或者低于规定的行业用水指标；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（三）水的重复利用率达到或者高于规定的行业标准。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特枯年份，实际供水量低于预测年度用水总量，水行政主管部门按照先生活后生产和保障民生产业的原则，核减水工程管理单位的用水指标。水行政主管部门应当提前十五日书面告知水工程管理单位，告知书应当包括核减的原因、数量、期限等内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水工程管理单位以及纳入用水指标管理的用水单位，应当按照规定及时、准确地向水行政主管部门报告取用水量等相关数据。</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市人民政府应当按照水源互补、科学调度的要求，规划建设备用水源项目和跨供水片区的联合供水项目，按照规划供水范围的正常用水量计算，保证备用水源具备不少于七日的供水能力。</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水行政主管部门应当制定供水安全应急预案，明确包括饮用水安全在内的生活、生产和生态用水安全应急措施，报本级人民政府批准。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实施取水许可制度。依法需要办理取水许可证的，实行取水许可分级审批。市、区分级审批权限由市水行政主管部门规定。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w:t>
      </w:r>
      <w:r>
        <w:rPr>
          <w:rFonts w:ascii="仿宋_GB2312" w:hAnsi="仿宋_GB2312" w:hint="eastAsia" w:eastAsia="仿宋_GB2312"/>
          <w:color w:val="333333"/>
          <w:spacing w:val="-10"/>
          <w:sz w:val="32"/>
          <w:szCs w:val="32"/>
        </w:rPr>
        <w:t>取水量达到或者超过年度用水总量控制指标的，水行政主管部门应当暂停审批新建、改建、扩建建设项目取水。</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w:t>
      </w:r>
      <w:r>
        <w:rPr>
          <w:rFonts w:ascii="仿宋_GB2312" w:hAnsi="仿宋_GB2312" w:hint="eastAsia" w:eastAsia="仿宋_GB2312"/>
          <w:color w:val="333333"/>
          <w:spacing w:val="-6"/>
          <w:sz w:val="32"/>
          <w:szCs w:val="32"/>
        </w:rPr>
        <w:t>取水单位和个人应当安装符合国家计量标准的取水计量器具，并保证取水计量器具的正常运行，不得擅自拆改。</w:t>
      </w:r>
    </w:p>
    <w:p>
      <w:pPr>
        <w:pStyle w:val="Style14"/>
        <w:widowControl w:val="false"/>
        <w:shd w:fill="FFFFFF" w:val="clear"/>
        <w:spacing w:lineRule="exact" w:line="580" w:before="0" w:after="0"/>
        <w:ind w:firstLine="645" w:end="0"/>
        <w:rPr>
          <w:rFonts w:ascii="仿宋_GB2312" w:hAnsi="仿宋_GB2312" w:eastAsia="仿宋_GB2312" w:hint="eastAsia"/>
          <w:color w:val="333333"/>
          <w:spacing w:val="-6"/>
          <w:sz w:val="32"/>
          <w:szCs w:val="32"/>
        </w:rPr>
      </w:pPr>
      <w:r>
        <w:rPr>
          <w:rFonts w:ascii="仿宋_GB2312" w:hAnsi="仿宋_GB2312" w:hint="eastAsia" w:eastAsia="仿宋_GB2312"/>
          <w:color w:val="333333"/>
          <w:sz w:val="32"/>
          <w:szCs w:val="32"/>
        </w:rPr>
        <w:t>未安装符合国家计量标准的取水计量器具，或者擅自拆改取水计量器具，导致取水量无法准确计量的，按照工程设计能力或者设备功率满负荷连续运行的取水能力计算取水量。</w:t>
      </w:r>
    </w:p>
    <w:p>
      <w:pPr>
        <w:pStyle w:val="Style14"/>
        <w:widowControl w:val="false"/>
        <w:shd w:fill="FFFFFF" w:val="clear"/>
        <w:spacing w:lineRule="exact" w:line="580" w:before="0" w:after="0"/>
        <w:ind w:firstLine="510" w:end="0"/>
        <w:rPr>
          <w:rFonts w:ascii="仿宋_GB2312" w:hAnsi="仿宋_GB2312" w:eastAsia="仿宋_GB2312" w:hint="eastAsia"/>
          <w:color w:val="333333"/>
          <w:spacing w:val="-6"/>
          <w:sz w:val="32"/>
          <w:szCs w:val="32"/>
        </w:rPr>
      </w:pPr>
      <w:r>
        <w:rPr>
          <w:rFonts w:eastAsia="仿宋_GB2312" w:hint="eastAsia" w:ascii="仿宋_GB2312" w:hAnsi="仿宋_GB2312"/>
          <w:color w:val="333333"/>
          <w:spacing w:val="-6"/>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法律责任</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违反本条例第十五条、第十六条规定，由环境保护行政主管部门或者委托城市管理行政执法部门责令停止违法行为，依照《中华人民共和国水污染防治法》有关规定处罚。</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违反本条例第十七条规定，在饮用水水源保护区的水库正常水位淹没线以下滩地和岸坡从事农作物种植、畜禽养殖等影响水源水质活动的，由水行政主管部门责令限期改正，并可处五千元以下罚款。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第三十九条</w:t>
      </w:r>
      <w:r>
        <w:rPr>
          <w:rFonts w:ascii="仿宋_GB2312" w:hAnsi="仿宋_GB2312" w:hint="eastAsia" w:eastAsia="仿宋_GB2312"/>
          <w:color w:val="333333"/>
          <w:sz w:val="32"/>
          <w:szCs w:val="32"/>
        </w:rPr>
        <w:t>　违反本条例第二十一条规定，从事生产经营活动对水功能区水域使用功能造成严重影响的，由水行政主管部门责令停止违法行为，采取补救措施，处一万元以上五万元以下罚款。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第四十条</w:t>
      </w:r>
      <w:r>
        <w:rPr>
          <w:rFonts w:ascii="仿宋_GB2312" w:hAnsi="仿宋_GB2312" w:hint="eastAsia" w:eastAsia="仿宋_GB2312"/>
          <w:color w:val="333333"/>
          <w:sz w:val="32"/>
          <w:szCs w:val="32"/>
        </w:rPr>
        <w:t>　违反本条例第二十五条第一款规定，拒不关闭设置在江河、湖泊上的排污口的，由水行政主管部门强制拆除，所需费用由原设置单位或者个人承担，并处以二万元以上十万元以下罚款。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违反本条例第三十条第一款规定，拒不执行年度用水指标的，由水行政主管部门责令限期改正；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逾期不改正的，予以核减下一年度的用水指标，处二万元以上十万元以下罚款，对直接负责的主管人员和其他直接责任人员可处五千元以下罚款。</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第四十二条</w:t>
      </w:r>
      <w:r>
        <w:rPr>
          <w:rFonts w:ascii="仿宋_GB2312" w:hAnsi="仿宋_GB2312" w:hint="eastAsia" w:eastAsia="仿宋_GB2312"/>
          <w:color w:val="333333"/>
          <w:sz w:val="32"/>
          <w:szCs w:val="32"/>
        </w:rPr>
        <w:t>　违反本条例第三十一条规定，逾期不报或者瞒报、误报取用水量等相关数据的，由水行政主管部门责令限期改正，予以警告；超过两次的，予以核减下一年度的用水指标，处二千元以上一万元以下罚款。</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水行政主管部门或者其他有关部门及其工作人员违反法定职责，玩忽职守、滥用职权、徇私舞弊的，由有权部门对直接负责的主管人员和其他直接责任人员给予行政处分；构成犯罪的，依法追究刑事责任。</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第六章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第四十四条</w:t>
      </w:r>
      <w:r>
        <w:rPr>
          <w:rFonts w:ascii="仿宋_GB2312" w:hAnsi="仿宋_GB2312" w:hint="eastAsia" w:eastAsia="仿宋_GB2312"/>
          <w:color w:val="333333"/>
          <w:sz w:val="32"/>
          <w:szCs w:val="32"/>
        </w:rPr>
        <w:t>　海水的开发、利用、保护和管理，依照有关法律、法规的规定执行。</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第四十五条</w:t>
      </w:r>
      <w:r>
        <w:rPr>
          <w:rFonts w:ascii="仿宋_GB2312" w:hAnsi="仿宋_GB2312" w:hint="eastAsia" w:eastAsia="仿宋_GB2312"/>
          <w:color w:val="333333"/>
          <w:sz w:val="32"/>
          <w:szCs w:val="32"/>
        </w:rPr>
        <w:t>　本条例自２０１２年６月１日起施行。１９９５年１２月２９日厦门市人民政府令第２８号公布、１９９７年１２月２９日厦门市人民政府令第６９号修正的《厦门市水资源管理规定》同时废止。</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2484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24840"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2pt;height:23.8pt;mso-wrap-distance-left:0pt;mso-wrap-distance-right:0pt;mso-wrap-distance-top:0pt;mso-wrap-distance-bottom:0pt;margin-top:0.05pt;mso-position-vertical-relative:text;margin-left:387.4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2016-10-17T14:27:00Z</dcterms:created>
  <dc:creator>微软用户</dc:creator>
  <dc:description/>
  <cp:keywords/>
  <dc:language>en-US</dc:language>
  <cp:lastModifiedBy>汪东升</cp:lastModifiedBy>
  <dcterms:modified xsi:type="dcterms:W3CDTF">2017-04-11T14:55:00Z</dcterms:modified>
  <cp:revision>20</cp:revision>
  <dc:subject/>
  <dc:title/>
</cp:coreProperties>
</file>