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napToGrid w:val="false"/>
        <w:spacing w:lineRule="exact" w:line="600"/>
        <w:jc w:val="center"/>
        <w:textAlignment w:val="auto"/>
        <w:rPr>
          <w:rFonts w:ascii="Times New Roman" w:hAnsi="Times New Roman" w:eastAsia="黑体" w:cs="Times New Roman" w:hint="eastAsia"/>
          <w:color w:val="000000"/>
        </w:rPr>
      </w:pPr>
      <w:r>
        <w:rPr>
          <w:rFonts w:eastAsia="黑体" w:cs="Times New Roman" w:hint="eastAsia" w:ascii="Times New Roman" w:hAnsi="Times New Roman"/>
          <w:color w:val="000000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宋体" w:hint="eastAsia"/>
          <w:sz w:val="44"/>
          <w:szCs w:val="44"/>
        </w:rPr>
      </w:pPr>
      <w:r>
        <w:rPr>
          <w:rFonts w:ascii="Times New Roman" w:hAnsi="Times New Roman" w:hint="eastAsia" w:eastAsia="宋体"/>
          <w:sz w:val="44"/>
          <w:szCs w:val="44"/>
        </w:rPr>
        <w:t>厦门市人民代表大会常务委员会关于授权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宋体" w:hint="eastAsia"/>
          <w:sz w:val="44"/>
          <w:szCs w:val="44"/>
        </w:rPr>
      </w:pPr>
      <w:r>
        <w:rPr>
          <w:rFonts w:ascii="Times New Roman" w:hAnsi="Times New Roman" w:hint="eastAsia" w:eastAsia="宋体"/>
          <w:sz w:val="44"/>
          <w:szCs w:val="44"/>
        </w:rPr>
        <w:t>厦门市人民政府暂时调整适用《厦门经济特区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宋体" w:hint="eastAsia"/>
          <w:sz w:val="44"/>
          <w:szCs w:val="44"/>
        </w:rPr>
      </w:pPr>
      <w:r>
        <w:rPr>
          <w:rFonts w:ascii="Times New Roman" w:hAnsi="Times New Roman" w:hint="eastAsia" w:eastAsia="宋体"/>
          <w:sz w:val="44"/>
          <w:szCs w:val="44"/>
        </w:rPr>
        <w:t>职工基本养老保险条例》《厦门经济特区鼓励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Times New Roman" w:hAnsi="Times New Roman" w:eastAsia="宋体" w:hint="eastAsia"/>
          <w:sz w:val="44"/>
          <w:szCs w:val="44"/>
        </w:rPr>
      </w:pPr>
      <w:r>
        <w:rPr>
          <w:rFonts w:ascii="Times New Roman" w:hAnsi="Times New Roman" w:hint="eastAsia" w:eastAsia="宋体"/>
          <w:sz w:val="44"/>
          <w:szCs w:val="44"/>
        </w:rPr>
        <w:t>留学人员来厦创业工作规定》的决定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pacing w:lineRule="exact" w:line="600"/>
        <w:ind w:firstLineChars="0" w:firstLine="0" w:startChars="200" w:endChars="200"/>
        <w:textAlignment w:val="auto"/>
        <w:rPr>
          <w:rFonts w:ascii="方正楷体_GBK;Arial Unicode MS" w:hAnsi="方正楷体_GBK;Arial Unicode MS" w:eastAsia="方正楷体_GBK;Arial Unicode MS" w:cs="方正楷体_GBK;Arial Unicode MS" w:hint="eastAsia"/>
          <w:bCs/>
          <w:color w:val="000000"/>
          <w:sz w:val="44"/>
          <w:szCs w:val="44"/>
        </w:rPr>
      </w:pPr>
      <w:r>
        <w:rPr>
          <w:rFonts w:eastAsia="方正楷体_GBK;Arial Unicode MS" w:cs="方正楷体_GBK;Arial Unicode MS" w:hint="eastAsia" w:ascii="方正楷体_GBK;Arial Unicode MS" w:hAnsi="方正楷体_GBK;Arial Unicode MS"/>
          <w:bCs/>
          <w:color w:val="000000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bidi w:val="0"/>
        <w:spacing w:lineRule="exact" w:line="600"/>
        <w:ind w:firstLineChars="0" w:firstLine="0" w:startChars="200" w:endChars="200"/>
        <w:textAlignment w:val="auto"/>
        <w:rPr>
          <w:rFonts w:ascii="方正楷体_GBK;Arial Unicode MS" w:hAnsi="方正楷体_GBK;Arial Unicode MS" w:eastAsia="方正楷体_GBK;Arial Unicode MS" w:cs="方正楷体_GBK;Arial Unicode MS" w:hint="eastAsia"/>
          <w:bCs/>
          <w:color w:val="000000"/>
        </w:rPr>
      </w:pPr>
      <w:r>
        <w:rPr>
          <w:rFonts w:ascii="方正楷体_GBK;Arial Unicode MS" w:hAnsi="方正楷体_GBK;Arial Unicode MS" w:cs="方正楷体_GBK;Arial Unicode MS" w:hint="eastAsia" w:eastAsia="方正楷体_GBK;Arial Unicode MS"/>
          <w:bCs/>
          <w:color w:val="000000"/>
        </w:rPr>
        <w:t>（</w:t>
      </w:r>
      <w:r>
        <w:rPr>
          <w:rFonts w:eastAsia="方正楷体_GBK;Arial Unicode MS" w:cs="方正楷体_GBK;Arial Unicode MS" w:hint="eastAsia" w:ascii="方正楷体_GBK;Arial Unicode MS" w:hAnsi="方正楷体_GBK;Arial Unicode MS"/>
          <w:bCs/>
          <w:color w:val="000000"/>
        </w:rPr>
        <w:t>2020</w:t>
      </w:r>
      <w:r>
        <w:rPr>
          <w:rFonts w:ascii="方正楷体_GBK;Arial Unicode MS" w:hAnsi="方正楷体_GBK;Arial Unicode MS" w:cs="方正楷体_GBK;Arial Unicode MS" w:hint="eastAsia" w:eastAsia="方正楷体_GBK;Arial Unicode MS"/>
          <w:bCs/>
          <w:color w:val="000000"/>
        </w:rPr>
        <w:t>年</w:t>
      </w:r>
      <w:r>
        <w:rPr>
          <w:rFonts w:eastAsia="方正楷体_GBK;Arial Unicode MS" w:cs="方正楷体_GBK;Arial Unicode MS" w:hint="eastAsia" w:ascii="方正楷体_GBK;Arial Unicode MS" w:hAnsi="方正楷体_GBK;Arial Unicode MS"/>
          <w:bCs/>
          <w:color w:val="000000"/>
        </w:rPr>
        <w:t>12</w:t>
      </w:r>
      <w:r>
        <w:rPr>
          <w:rFonts w:ascii="方正楷体_GBK;Arial Unicode MS" w:hAnsi="方正楷体_GBK;Arial Unicode MS" w:cs="方正楷体_GBK;Arial Unicode MS" w:hint="eastAsia" w:eastAsia="方正楷体_GBK;Arial Unicode MS"/>
          <w:bCs/>
          <w:color w:val="000000"/>
        </w:rPr>
        <w:t>月</w:t>
      </w:r>
      <w:r>
        <w:rPr>
          <w:rFonts w:eastAsia="方正楷体_GBK;Arial Unicode MS" w:cs="方正楷体_GBK;Arial Unicode MS" w:hint="eastAsia" w:ascii="方正楷体_GBK;Arial Unicode MS" w:hAnsi="方正楷体_GBK;Arial Unicode MS"/>
          <w:bCs/>
          <w:color w:val="000000"/>
        </w:rPr>
        <w:t>11</w:t>
      </w:r>
      <w:r>
        <w:rPr>
          <w:rFonts w:ascii="方正楷体_GBK;Arial Unicode MS" w:hAnsi="方正楷体_GBK;Arial Unicode MS" w:cs="方正楷体_GBK;Arial Unicode MS" w:hint="eastAsia" w:eastAsia="方正楷体_GBK;Arial Unicode MS"/>
          <w:bCs/>
          <w:color w:val="000000"/>
        </w:rPr>
        <w:t>日厦门市第十五届人民代表大会常务委员会第三十九次会议通过）</w:t>
      </w:r>
    </w:p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endChars="-47"/>
        <w:jc w:val="both"/>
        <w:textAlignment w:val="auto"/>
        <w:rPr>
          <w:rFonts w:ascii="CESI仿宋-GB2312;仿宋" w:hAnsi="CESI仿宋-GB2312;仿宋" w:eastAsia="CESI仿宋-GB2312;仿宋" w:cs="CESI仿宋-GB2312;仿宋" w:hint="eastAsia"/>
          <w:bCs w:val="false"/>
          <w:color w:val="000000"/>
          <w:sz w:val="32"/>
          <w:szCs w:val="32"/>
          <w:u w:val="none"/>
        </w:rPr>
      </w:pPr>
      <w:r>
        <w:rPr>
          <w:rFonts w:eastAsia="CESI仿宋-GB2312;仿宋" w:cs="CESI仿宋-GB2312;仿宋" w:hint="eastAsia" w:ascii="CESI仿宋-GB2312;仿宋" w:hAnsi="CESI仿宋-GB2312;仿宋"/>
          <w:bCs w:val="false"/>
          <w:color w:val="000000"/>
          <w:sz w:val="32"/>
          <w:szCs w:val="32"/>
          <w:u w:val="none"/>
        </w:rPr>
      </w:r>
    </w:p>
    <w:p>
      <w:pPr>
        <w:pStyle w:val="msonormalcxspmiddle"/>
        <w:keepNext w:val="false"/>
        <w:keepLines w:val="false"/>
        <w:pageBreakBefore w:val="false"/>
        <w:widowControl w:val="false"/>
        <w:kinsoku w:val="true"/>
        <w:overflowPunct w:val="true"/>
        <w:bidi w:val="0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CESI仿宋-GB2312;仿宋" w:hAnsi="CESI仿宋-GB2312;仿宋" w:eastAsia="CESI仿宋-GB2312;仿宋" w:cs="CESI仿宋-GB2312;仿宋" w:hint="eastAsia"/>
          <w:bCs/>
          <w:color w:val="000000"/>
          <w:sz w:val="32"/>
          <w:szCs w:val="32"/>
          <w:u w:val="none"/>
        </w:rPr>
      </w:pP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w:t>为适应企业职工基本养老保险制度改革的需要，厦门市第十五届人民代表大会常务委员会第三十九次会议决定：</w:t>
      </w:r>
    </w:p>
    <w:p>
      <w:pPr>
        <w:pStyle w:val="msonormalcxspmiddle"/>
        <w:keepNext w:val="false"/>
        <w:keepLines w:val="false"/>
        <w:pageBreakBefore w:val="false"/>
        <w:widowControl w:val="false"/>
        <w:kinsoku w:val="true"/>
        <w:overflowPunct w:val="true"/>
        <w:bidi w:val="0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CESI仿宋-GB2312;仿宋" w:hAnsi="CESI仿宋-GB2312;仿宋" w:eastAsia="CESI仿宋-GB2312;仿宋" w:cs="CESI仿宋-GB2312;仿宋" w:hint="eastAsia"/>
          <w:bCs/>
          <w:color w:val="000000"/>
          <w:sz w:val="32"/>
          <w:szCs w:val="32"/>
          <w:u w:val="none"/>
        </w:rPr>
      </w:pP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w:t>在推进企业职工基本养老保险全国统筹和省级统筹改革期间，授权市人民政府对《厦门经济特区职工基本养老保险条例》《厦门经济特区鼓励留学人员来厦创业工作规定》中与改革要求不一致的规定，进行暂时调整适用。暂时调整适用的期限至</w:t>
      </w:r>
      <w:r>
        <w:rPr>
          <w:rFonts w:eastAsia="CESI仿宋-GB2312;仿宋" w:cs="CESI仿宋-GB2312;仿宋" w:hint="eastAsia" w:ascii="CESI仿宋-GB2312;仿宋" w:hAnsi="CESI仿宋-GB2312;仿宋"/>
          <w:bCs/>
          <w:color w:val="000000"/>
          <w:sz w:val="32"/>
          <w:szCs w:val="32"/>
          <w:u w:val="none"/>
        </w:rPr>
        <w:t>2023</w:t>
      </w: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w:t>年</w:t>
      </w:r>
      <w:r>
        <w:rPr>
          <w:rFonts w:eastAsia="CESI仿宋-GB2312;仿宋" w:cs="CESI仿宋-GB2312;仿宋" w:hint="eastAsia" w:ascii="CESI仿宋-GB2312;仿宋" w:hAnsi="CESI仿宋-GB2312;仿宋"/>
          <w:bCs/>
          <w:color w:val="000000"/>
          <w:sz w:val="32"/>
          <w:szCs w:val="32"/>
          <w:u w:val="none"/>
        </w:rPr>
        <w:t>12</w:t>
      </w: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w:t>月</w:t>
      </w:r>
      <w:r>
        <w:rPr>
          <w:rFonts w:eastAsia="CESI仿宋-GB2312;仿宋" w:cs="CESI仿宋-GB2312;仿宋" w:hint="eastAsia" w:ascii="CESI仿宋-GB2312;仿宋" w:hAnsi="CESI仿宋-GB2312;仿宋"/>
          <w:bCs/>
          <w:color w:val="000000"/>
          <w:sz w:val="32"/>
          <w:szCs w:val="32"/>
          <w:u w:val="none"/>
        </w:rPr>
        <w:t>31</w:t>
      </w: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w:t>日，具体内容由市人民政府根据改革要求另行制定。</w:t>
      </w:r>
    </w:p>
    <w:p>
      <w:pPr>
        <w:pStyle w:val="msonormalcxspmiddle"/>
        <w:keepNext w:val="false"/>
        <w:keepLines w:val="false"/>
        <w:pageBreakBefore w:val="false"/>
        <w:widowControl w:val="false"/>
        <w:kinsoku w:val="true"/>
        <w:overflowPunct w:val="true"/>
        <w:bidi w:val="0"/>
        <w:spacing w:lineRule="exact" w:line="600" w:before="0" w:after="0"/>
        <w:ind w:firstLineChars="200" w:startChars="0" w:start="0" w:endChars="0" w:end="0"/>
        <w:jc w:val="both"/>
        <w:textAlignment w:val="auto"/>
        <w:rPr>
          <w:rFonts w:ascii="CESI仿宋-GB2312;仿宋" w:hAnsi="CESI仿宋-GB2312;仿宋" w:eastAsia="CESI仿宋-GB2312;仿宋" w:cs="CESI仿宋-GB2312;仿宋" w:hint="eastAsia"/>
          <w:bCs/>
          <w:color w:val="000000"/>
          <w:sz w:val="32"/>
          <w:szCs w:val="32"/>
          <w:u w:val="none"/>
          <w:lang w:val="en-US" w:eastAsia="en-US"/>
        </w:rPr>
      </w:pP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6352540</wp:posOffset>
                </wp:positionV>
                <wp:extent cx="1010285" cy="38671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10160" cy="38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57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黑体" w:cs="Times New Roman" w:hint="eastAsia"/>
                                <w:bCs/>
                                <w:color w:val="000000"/>
                                <w:kern w:val="2"/>
                                <w:sz w:val="32"/>
                                <w:szCs w:val="32"/>
                                <w:lang w:bidi="ar-SA"/>
                              </w:rPr>
                              <w:t>附件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54.9pt;margin-top:500.2pt;width:79.5pt;height:30.4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spacing w:lineRule="exact" w:line="570"/>
                        <w:jc w:val="both"/>
                        <w:rPr/>
                      </w:pPr>
                      <w:r>
                        <w:rPr>
                          <w:rFonts w:ascii="Times New Roman" w:hAnsi="Times New Roman" w:eastAsia="黑体" w:cs="Times New Roman" w:hint="eastAsia"/>
                          <w:bCs/>
                          <w:color w:val="000000"/>
                          <w:kern w:val="2"/>
                          <w:sz w:val="32"/>
                          <w:szCs w:val="32"/>
                          <w:lang w:bidi="ar-SA"/>
                        </w:rPr>
                        <w:t>附件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CESI仿宋-GB2312;仿宋" w:hAnsi="CESI仿宋-GB2312;仿宋" w:cs="CESI仿宋-GB2312;仿宋" w:hint="eastAsia" w:eastAsia="CESI仿宋-GB2312;仿宋"/>
          <w:bCs/>
          <w:color w:val="000000"/>
          <w:sz w:val="32"/>
          <w:szCs w:val="32"/>
          <w:u w:val="none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20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 w:hint="eastAsia"/>
          <w:bCs/>
          <w:color w:val="000000"/>
          <w:sz w:val="32"/>
          <w:szCs w:val="32"/>
          <w:u w:val="none"/>
          <w:lang w:val="en-US" w:eastAsia="en-US"/>
        </w:rPr>
      </w:pPr>
      <w:r>
        <w:rPr>
          <w:rFonts w:eastAsia="仿宋_GB2312;仿宋" w:cs="Times New Roman" w:hint="eastAsia" w:ascii="Times New Roman" w:hAnsi="Times New Roman"/>
          <w:bCs/>
          <w:color w:val="000000"/>
          <w:sz w:val="32"/>
          <w:szCs w:val="32"/>
          <w:u w:val="none"/>
          <w:lang w:val="en-US" w:eastAsia="en-US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361" w:bottom="1985"/>
      <w:pgNumType w:fmt="decimal"/>
      <w:formProt w:val="false"/>
      <w:textDirection w:val="lrTb"/>
      <w:docGrid w:type="linesAndChars" w:linePitch="636" w:charSpace="42949638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简体">
    <w:altName w:val="Arial Unicode MS"/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等线">
    <w:altName w:val="Arial Unicode MS"/>
    <w:charset w:val="00" w:characterSet="windows-1252"/>
    <w:family w:val="auto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Tahoma">
    <w:charset w:val="00" w:characterSet="windows-1252"/>
    <w:family w:val="auto"/>
    <w:pitch w:val="default"/>
  </w:font>
  <w:font w:name="方正楷体_GBK">
    <w:altName w:val="Arial Unicode MS"/>
    <w:charset w:val="86"/>
    <w:family w:val="auto"/>
    <w:pitch w:val="default"/>
  </w:font>
  <w:font w:name="CESI仿宋-GB2312">
    <w:altName w:val="仿宋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rightMargin">
                <wp:posOffset>-1153795</wp:posOffset>
              </wp:positionH>
              <wp:positionV relativeFrom="paragraph">
                <wp:posOffset>3810</wp:posOffset>
              </wp:positionV>
              <wp:extent cx="1153795" cy="209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7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start"/>
                            <w:rPr>
                              <w:rStyle w:val="PageNumber"/>
                              <w:rFonts w:ascii="宋体" w:hAnsi="宋体" w:eastAsia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eastAsia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0.85pt;height:1.65pt;mso-wrap-distance-left:0pt;mso-wrap-distance-right:0pt;mso-wrap-distance-top:0pt;mso-wrap-distance-bottom:0pt;margin-top:0.3pt;mso-position-vertical-relative:text;margin-left:-90.85pt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start"/>
                      <w:rPr>
                        <w:rStyle w:val="PageNumber"/>
                        <w:rFonts w:ascii="宋体" w:hAnsi="宋体" w:eastAsia="宋体"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eastAsia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t>0</w: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page">
                <wp:posOffset>5412740</wp:posOffset>
              </wp:positionH>
              <wp:positionV relativeFrom="paragraph">
                <wp:posOffset>3810</wp:posOffset>
              </wp:positionV>
              <wp:extent cx="1162685" cy="30226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685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end"/>
                            <w:rPr>
                              <w:rStyle w:val="PageNumber"/>
                              <w:rFonts w:ascii="宋体" w:hAnsi="宋体" w:eastAsia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eastAsia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"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1.55pt;height:23.8pt;mso-wrap-distance-left:0pt;mso-wrap-distance-right:0pt;mso-wrap-distance-top:0pt;mso-wrap-distance-bottom:0pt;margin-top:0.3pt;mso-position-vertical-relative:text;margin-left:426.2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jc w:val="end"/>
                      <w:rPr>
                        <w:rStyle w:val="PageNumber"/>
                        <w:rFonts w:ascii="宋体" w:hAnsi="宋体" w:eastAsia="宋体" w:hint="eastAsia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eastAsia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"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2"/>
    <w:qFormat/>
    <w:pPr>
      <w:widowControl w:val="false"/>
      <w:bidi w:val="0"/>
      <w:jc w:val="both"/>
    </w:pPr>
    <w:rPr>
      <w:rFonts w:ascii="方正仿宋简体;Arial Unicode MS" w:hAnsi="方正仿宋简体;Arial Unicode MS" w:eastAsia="方正仿宋简体;Arial Unicode MS" w:cs="宋体"/>
      <w:color w:val="000000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  <w:bCs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har">
    <w:name w:val="Char"/>
    <w:basedOn w:val="Normal"/>
    <w:qFormat/>
    <w:pPr/>
    <w:rPr/>
  </w:style>
  <w:style w:type="paragraph" w:styleId="p0">
    <w:name w:val="p0"/>
    <w:basedOn w:val="Normal"/>
    <w:qFormat/>
    <w:pPr>
      <w:widowControl/>
    </w:pPr>
    <w:rPr>
      <w:rFonts w:ascii="Times New Roman" w:hAnsi="Times New Roman" w:eastAsia="宋体" w:cs="Times New Roman"/>
      <w:color w:val="00000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等线;Arial Unicode MS" w:hAnsi="等线;Arial Unicode MS" w:eastAsia="等线;Arial Unicode MS" w:cs="等线;Arial Unicode MS"/>
      <w:color w:val="000000"/>
      <w:sz w:val="24"/>
      <w:szCs w:val="24"/>
      <w:lang w:bidi="ar-SA" w:val="en-US" w:eastAsia="zh-CN"/>
    </w:rPr>
  </w:style>
  <w:style w:type="paragraph" w:styleId="Style15">
    <w:name w:val="列表段落"/>
    <w:next w:val="Style16"/>
    <w:qFormat/>
    <w:pPr>
      <w:widowControl/>
      <w:bidi w:val="0"/>
      <w:ind w:firstLineChars="200" w:startChars="0" w:start="0" w:endChars="0" w:end="0"/>
    </w:pPr>
    <w:rPr>
      <w:rFonts w:ascii="Times New Roman" w:hAnsi="Times New Roman" w:eastAsia="宋体" w:cs="Times New Roman"/>
      <w:color w:val="auto"/>
      <w:sz w:val="24"/>
      <w:szCs w:val="24"/>
      <w:lang w:bidi="ar-SA" w:val="en-US" w:eastAsia="zh-CN"/>
    </w:rPr>
  </w:style>
  <w:style w:type="paragraph" w:styleId="defaultcxsplast">
    <w:name w:val="defaultcxsplast"/>
    <w:qFormat/>
    <w:pPr>
      <w:widowControl/>
      <w:bidi w:val="0"/>
      <w:spacing w:before="280" w:after="280"/>
      <w:jc w:val="start"/>
    </w:pPr>
    <w:rPr>
      <w:rFonts w:ascii="宋体" w:hAnsi="宋体" w:eastAsia="宋体" w:cs="宋体"/>
      <w:color w:val="auto"/>
      <w:kern w:val="0"/>
      <w:sz w:val="24"/>
      <w:szCs w:val="32"/>
      <w:lang w:bidi="ar-SA" w:val="en-US" w:eastAsia="zh-CN"/>
    </w:rPr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2">
    <w:name w:val="样式2"/>
    <w:qFormat/>
    <w:pPr>
      <w:widowControl w:val="false"/>
      <w:bidi w:val="0"/>
      <w:spacing w:lineRule="exact" w:line="600"/>
      <w:ind w:firstLineChars="200" w:startChars="0" w:start="0" w:endChars="-47"/>
    </w:pPr>
    <w:rPr>
      <w:rFonts w:ascii="Calibri" w:hAnsi="Calibri" w:eastAsia="宋体" w:cs="Times New Roman"/>
      <w:bCs/>
      <w:color w:val="auto"/>
      <w:kern w:val="2"/>
      <w:sz w:val="32"/>
      <w:szCs w:val="28"/>
      <w:lang w:bidi="ar-SA" w:val="en-US" w:eastAsia="zh-CN"/>
    </w:rPr>
  </w:style>
  <w:style w:type="paragraph" w:styleId="CharCharChar1Char">
    <w:name w:val="Char Char Char1 Char"/>
    <w:basedOn w:val="Normal"/>
    <w:qFormat/>
    <w:pPr>
      <w:tabs>
        <w:tab w:val="clear" w:pos="420"/>
        <w:tab w:val="left" w:pos="360" w:leader="none"/>
      </w:tabs>
    </w:pPr>
    <w:rPr>
      <w:rFonts w:ascii="Calibri" w:hAnsi="Calibri" w:eastAsia="宋体" w:cs="黑体"/>
      <w:color w:val="000000"/>
      <w:kern w:val="2"/>
      <w:sz w:val="24"/>
      <w:szCs w:val="24"/>
    </w:rPr>
  </w:style>
  <w:style w:type="paragraph" w:styleId="21">
    <w:name w:val="正文文本 2"/>
    <w:basedOn w:val="Normal"/>
    <w:qFormat/>
    <w:pPr>
      <w:snapToGrid w:val="false"/>
      <w:jc w:val="center"/>
    </w:pPr>
    <w:rPr>
      <w:rFonts w:ascii="Times New Roman" w:hAnsi="Times New Roman" w:eastAsia="方正大标宋简体;Arial Unicode MS" w:cs="Times New Roman"/>
      <w:color w:val="000000"/>
      <w:kern w:val="2"/>
      <w:sz w:val="36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CharChar1">
    <w:name w:val="Char Char1"/>
    <w:basedOn w:val="Normal"/>
    <w:qFormat/>
    <w:pPr/>
    <w:rPr/>
  </w:style>
  <w:style w:type="paragraph" w:styleId="Style18">
    <w:name w:val="_Style 1"/>
    <w:basedOn w:val="Normal"/>
    <w:qFormat/>
    <w:pPr>
      <w:widowControl/>
      <w:ind w:firstLineChars="200" w:startChars="0" w:start="0" w:endChars="0" w:end="0"/>
      <w:jc w:val="start"/>
    </w:pPr>
    <w:rPr>
      <w:kern w:val="0"/>
      <w:sz w:val="24"/>
      <w:szCs w:val="24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  <w:color w:val="000000"/>
      <w:kern w:val="2"/>
      <w:sz w:val="21"/>
      <w:szCs w:val="24"/>
    </w:rPr>
  </w:style>
  <w:style w:type="paragraph" w:styleId="Style19">
    <w:name w:val="列出段落"/>
    <w:basedOn w:val="Normal"/>
    <w:qFormat/>
    <w:pPr>
      <w:widowControl/>
      <w:snapToGrid w:val="false"/>
      <w:spacing w:before="0" w:after="200"/>
      <w:ind w:firstLineChars="200" w:startChars="0" w:start="0" w:endChars="0" w:end="0"/>
      <w:jc w:val="start"/>
    </w:pPr>
    <w:rPr>
      <w:rFonts w:ascii="Tahoma" w:hAnsi="Tahoma" w:cs="Tahoma"/>
      <w:kern w:val="0"/>
      <w:sz w:val="32"/>
      <w:szCs w:val="32"/>
    </w:rPr>
  </w:style>
  <w:style w:type="paragraph" w:styleId="msonormalcxsplast">
    <w:name w:val="msonormalcxsplast"/>
    <w:qFormat/>
    <w:pPr>
      <w:widowControl/>
      <w:bidi w:val="0"/>
      <w:spacing w:before="280" w:after="280"/>
    </w:pPr>
    <w:rPr>
      <w:rFonts w:ascii="宋体" w:hAnsi="宋体" w:eastAsia="宋体" w:cs="宋体"/>
      <w:color w:val="auto"/>
      <w:sz w:val="24"/>
      <w:szCs w:val="24"/>
      <w:lang w:bidi="ar-SA" w:val="en-US" w:eastAsia="zh-CN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defaultcxspmiddle">
    <w:name w:val="defaultcxspmiddle"/>
    <w:qFormat/>
    <w:pPr>
      <w:widowControl/>
      <w:bidi w:val="0"/>
      <w:spacing w:before="280" w:after="280"/>
      <w:jc w:val="start"/>
    </w:pPr>
    <w:rPr>
      <w:rFonts w:ascii="宋体" w:hAnsi="宋体" w:eastAsia="宋体" w:cs="宋体"/>
      <w:color w:val="auto"/>
      <w:kern w:val="0"/>
      <w:sz w:val="24"/>
      <w:szCs w:val="32"/>
      <w:lang w:bidi="ar-SA" w:val="en-US" w:eastAsia="zh-CN"/>
    </w:rPr>
  </w:style>
  <w:style w:type="paragraph" w:styleId="msonormalcxspmiddle">
    <w:name w:val="msonormalcxspmiddle"/>
    <w:qFormat/>
    <w:pPr>
      <w:widowControl/>
      <w:bidi w:val="0"/>
      <w:spacing w:before="280" w:after="280"/>
    </w:pPr>
    <w:rPr>
      <w:rFonts w:ascii="宋体" w:hAnsi="宋体" w:eastAsia="宋体" w:cs="宋体"/>
      <w:color w:val="auto"/>
      <w:sz w:val="24"/>
      <w:szCs w:val="24"/>
      <w:lang w:bidi="ar-SA" w:val="en-US" w:eastAsia="zh-CN"/>
    </w:rPr>
  </w:style>
  <w:style w:type="paragraph" w:styleId="11">
    <w:name w:val="列表段落1"/>
    <w:basedOn w:val="Normal"/>
    <w:qFormat/>
    <w:pPr>
      <w:ind w:firstLineChars="200" w:startChars="0" w:start="0" w:endChars="0" w:end="0"/>
    </w:pPr>
    <w:rPr>
      <w:rFonts w:ascii="Calibri" w:hAnsi="Calibri" w:eastAsia="宋体" w:cs="Calibri"/>
    </w:rPr>
  </w:style>
  <w:style w:type="paragraph" w:styleId="CharCharCharCharCharChar">
    <w:name w:val=" Char Char Char Char Char Char"/>
    <w:basedOn w:val="Normal"/>
    <w:qFormat/>
    <w:pPr>
      <w:widowControl/>
      <w:spacing w:lineRule="exact" w:line="240" w:before="0" w:after="160"/>
      <w:jc w:val="star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37920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2019-05-04T08:58:00Z</dcterms:created>
  <dc:creator>周福益</dc:creator>
  <dc:description/>
  <dc:language>en-US</dc:language>
  <cp:lastModifiedBy>dell</cp:lastModifiedBy>
  <cp:lastPrinted>2020-11-14T11:07:00Z</cp:lastPrinted>
  <dcterms:modified xsi:type="dcterms:W3CDTF">2021-01-12T16:27:16Z</dcterms:modified>
  <cp:revision>286</cp:revision>
  <dc:subject/>
  <dc:title>厦门市人民代表大会常务委员会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