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snapToGrid w:val="true"/>
        <w:spacing w:lineRule="exact" w:line="600"/>
        <w:ind w:firstLineChars="0" w:firstLine="0" w:startChars="0" w:start="0" w:endChars="0" w:end="0"/>
        <w:jc w:val="center"/>
        <w:textAlignment w:val="auto"/>
        <w:rPr>
          <w:rFonts w:ascii="宋体" w:hAnsi="宋体" w:eastAsia="宋体" w:cs="宋体" w:hint="eastAsia"/>
          <w:b/>
          <w:bCs/>
          <w:spacing w:val="0"/>
          <w:sz w:val="44"/>
        </w:rPr>
      </w:pPr>
      <w:r>
        <w:rPr>
          <w:rFonts w:eastAsia="宋体" w:cs="宋体" w:hint="eastAsia" w:ascii="宋体" w:hAnsi="宋体"/>
          <w:b/>
          <w:bCs/>
          <w:spacing w:val="0"/>
          <w:sz w:val="44"/>
        </w:rPr>
      </w:r>
    </w:p>
    <w:p>
      <w:pPr>
        <w:pStyle w:val="Default"/>
        <w:rPr>
          <w:rFonts w:ascii="宋体" w:hAnsi="宋体" w:eastAsia="宋体" w:cs="宋体" w:hint="eastAsia"/>
          <w:b/>
          <w:bCs/>
          <w:spacing w:val="0"/>
          <w:sz w:val="44"/>
        </w:rPr>
      </w:pPr>
      <w:r>
        <w:rPr>
          <w:rFonts w:eastAsia="宋体" w:cs="宋体" w:hint="eastAsia" w:ascii="宋体" w:hAnsi="宋体"/>
          <w:b/>
          <w:bCs/>
          <w:spacing w:val="0"/>
          <w:sz w:val="44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snapToGrid w:val="true"/>
        <w:spacing w:lineRule="exact" w:line="600"/>
        <w:ind w:firstLineChars="0" w:firstLine="0" w:startChars="0" w:start="0" w:endChars="0" w:end="0"/>
        <w:jc w:val="center"/>
        <w:textAlignment w:val="auto"/>
        <w:rPr>
          <w:rFonts w:ascii="宋体" w:hAnsi="宋体" w:eastAsia="宋体" w:cs="宋体" w:hint="eastAsia"/>
          <w:b/>
          <w:bCs/>
          <w:spacing w:val="0"/>
          <w:sz w:val="44"/>
        </w:rPr>
      </w:pPr>
      <w:r>
        <w:rPr>
          <w:rFonts w:ascii="宋体" w:hAnsi="宋体" w:cs="宋体" w:hint="eastAsia" w:eastAsia="宋体"/>
          <w:b/>
          <w:bCs/>
          <w:spacing w:val="0"/>
          <w:sz w:val="44"/>
        </w:rPr>
        <w:t>福州市人民代表大会常务委员会关于废止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snapToGrid w:val="true"/>
        <w:spacing w:lineRule="exact" w:line="600"/>
        <w:ind w:firstLineChars="0" w:firstLine="0" w:startChars="0" w:start="0" w:endChars="0" w:end="0"/>
        <w:jc w:val="center"/>
        <w:textAlignment w:val="auto"/>
        <w:rPr>
          <w:rFonts w:ascii="宋体" w:hAnsi="宋体" w:eastAsia="宋体" w:cs="宋体" w:hint="eastAsia"/>
          <w:b/>
          <w:bCs/>
          <w:spacing w:val="0"/>
          <w:sz w:val="44"/>
        </w:rPr>
      </w:pPr>
      <w:r>
        <w:rPr>
          <w:rFonts w:ascii="宋体" w:hAnsi="宋体" w:cs="宋体" w:hint="eastAsia" w:eastAsia="宋体"/>
          <w:b/>
          <w:bCs/>
          <w:spacing w:val="0"/>
          <w:sz w:val="44"/>
        </w:rPr>
        <w:t>《福州市城市房屋产权产籍管理办法》的决定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220" w:after="0"/>
        <w:ind w:firstLineChars="0" w:firstLine="0" w:startChars="0" w:start="0" w:endChars="0" w:end="0"/>
        <w:jc w:val="start"/>
        <w:textAlignment w:val="auto"/>
        <w:rPr>
          <w:rFonts w:ascii="楷体_GB2312;楷体" w:hAnsi="楷体_GB2312;楷体" w:eastAsia="楷体_GB2312;楷体" w:cs="楷体_GB2312;楷体" w:hint="eastAsia"/>
          <w:spacing w:val="0"/>
          <w:sz w:val="32"/>
          <w:szCs w:val="32"/>
        </w:rPr>
      </w:pPr>
      <w:r>
        <w:rPr>
          <w:rFonts w:ascii="楷体_GB2312;楷体" w:hAnsi="楷体_GB2312;楷体" w:cs="楷体_GB2312;楷体" w:hint="eastAsia" w:eastAsia="楷体_GB2312;楷体"/>
          <w:spacing w:val="0"/>
          <w:sz w:val="32"/>
          <w:szCs w:val="32"/>
        </w:rPr>
        <w:t>（</w:t>
      </w:r>
      <w:r>
        <w:rPr>
          <w:rFonts w:eastAsia="楷体_GB2312;楷体" w:cs="楷体_GB2312;楷体" w:hint="eastAsia" w:ascii="楷体_GB2312;楷体" w:hAnsi="楷体_GB2312;楷体"/>
          <w:spacing w:val="0"/>
          <w:sz w:val="32"/>
          <w:szCs w:val="32"/>
        </w:rPr>
        <w:t>2021</w:t>
      </w:r>
      <w:r>
        <w:rPr>
          <w:rFonts w:ascii="楷体_GB2312;楷体" w:hAnsi="楷体_GB2312;楷体" w:cs="楷体_GB2312;楷体" w:hint="eastAsia" w:eastAsia="楷体_GB2312;楷体"/>
          <w:spacing w:val="0"/>
          <w:sz w:val="32"/>
          <w:szCs w:val="32"/>
        </w:rPr>
        <w:t>年</w:t>
      </w:r>
      <w:r>
        <w:rPr>
          <w:rFonts w:eastAsia="楷体_GB2312;楷体" w:cs="楷体_GB2312;楷体" w:hint="eastAsia" w:ascii="楷体_GB2312;楷体" w:hAnsi="楷体_GB2312;楷体"/>
          <w:spacing w:val="0"/>
          <w:sz w:val="32"/>
          <w:szCs w:val="32"/>
        </w:rPr>
        <w:t>4</w:t>
      </w:r>
      <w:r>
        <w:rPr>
          <w:rFonts w:ascii="楷体_GB2312;楷体" w:hAnsi="楷体_GB2312;楷体" w:cs="楷体_GB2312;楷体" w:hint="eastAsia" w:eastAsia="楷体_GB2312;楷体"/>
          <w:spacing w:val="0"/>
          <w:sz w:val="32"/>
          <w:szCs w:val="32"/>
        </w:rPr>
        <w:t>月</w:t>
      </w:r>
      <w:r>
        <w:rPr>
          <w:rFonts w:eastAsia="楷体_GB2312;楷体" w:cs="楷体_GB2312;楷体" w:hint="eastAsia" w:ascii="楷体_GB2312;楷体" w:hAnsi="楷体_GB2312;楷体"/>
          <w:spacing w:val="0"/>
          <w:sz w:val="32"/>
          <w:szCs w:val="32"/>
        </w:rPr>
        <w:t>29</w:t>
      </w:r>
      <w:r>
        <w:rPr>
          <w:rFonts w:ascii="楷体_GB2312;楷体" w:hAnsi="楷体_GB2312;楷体" w:cs="楷体_GB2312;楷体" w:hint="eastAsia" w:eastAsia="楷体_GB2312;楷体"/>
          <w:spacing w:val="0"/>
          <w:sz w:val="32"/>
          <w:szCs w:val="32"/>
        </w:rPr>
        <w:t>日福州市第十五届人民代表大会常务委员会第三十五次会议通过　</w:t>
      </w:r>
      <w:r>
        <w:rPr>
          <w:rFonts w:eastAsia="楷体_GB2312;楷体" w:cs="楷体_GB2312;楷体" w:hint="eastAsia" w:ascii="楷体_GB2312;楷体" w:hAnsi="楷体_GB2312;楷体"/>
          <w:spacing w:val="0"/>
          <w:sz w:val="32"/>
          <w:szCs w:val="32"/>
        </w:rPr>
        <w:t>2021</w:t>
      </w:r>
      <w:r>
        <w:rPr>
          <w:rFonts w:ascii="楷体_GB2312;楷体" w:hAnsi="楷体_GB2312;楷体" w:cs="楷体_GB2312;楷体" w:hint="eastAsia" w:eastAsia="楷体_GB2312;楷体"/>
          <w:spacing w:val="0"/>
          <w:sz w:val="32"/>
          <w:szCs w:val="32"/>
        </w:rPr>
        <w:t>年</w:t>
      </w:r>
      <w:r>
        <w:rPr>
          <w:rFonts w:eastAsia="楷体_GB2312;楷体" w:cs="楷体_GB2312;楷体" w:hint="eastAsia" w:ascii="楷体_GB2312;楷体" w:hAnsi="楷体_GB2312;楷体"/>
          <w:spacing w:val="0"/>
          <w:sz w:val="32"/>
          <w:szCs w:val="32"/>
        </w:rPr>
        <w:t>5</w:t>
      </w:r>
      <w:r>
        <w:rPr>
          <w:rFonts w:ascii="楷体_GB2312;楷体" w:hAnsi="楷体_GB2312;楷体" w:cs="楷体_GB2312;楷体" w:hint="eastAsia" w:eastAsia="楷体_GB2312;楷体"/>
          <w:spacing w:val="0"/>
          <w:sz w:val="32"/>
          <w:szCs w:val="32"/>
        </w:rPr>
        <w:t>月</w:t>
      </w:r>
      <w:r>
        <w:rPr>
          <w:rFonts w:eastAsia="楷体_GB2312;楷体" w:cs="楷体_GB2312;楷体" w:hint="eastAsia" w:ascii="楷体_GB2312;楷体" w:hAnsi="楷体_GB2312;楷体"/>
          <w:spacing w:val="0"/>
          <w:sz w:val="32"/>
          <w:szCs w:val="32"/>
        </w:rPr>
        <w:t>27</w:t>
      </w:r>
      <w:r>
        <w:rPr>
          <w:rFonts w:ascii="楷体_GB2312;楷体" w:hAnsi="楷体_GB2312;楷体" w:cs="楷体_GB2312;楷体" w:hint="eastAsia" w:eastAsia="楷体_GB2312;楷体"/>
          <w:spacing w:val="0"/>
          <w:sz w:val="32"/>
          <w:szCs w:val="32"/>
        </w:rPr>
        <w:t>日福建省第十三届人民代表大会常务委员会第二十七次会议批准）</w:t>
      </w:r>
    </w:p>
    <w:p>
      <w:pPr>
        <w:pStyle w:val="Normal"/>
        <w:spacing w:lineRule="exact" w:line="600"/>
        <w:ind w:firstLineChars="200" w:startChars="0" w:start="0" w:endChars="0" w:end="0"/>
        <w:jc w:val="both"/>
        <w:rPr>
          <w:rFonts w:ascii="Times New Roman" w:hAnsi="Times New Roman" w:eastAsia="方正仿宋简体;微软雅黑" w:cs="Times New Roman"/>
          <w:spacing w:val="0"/>
          <w:sz w:val="32"/>
          <w:szCs w:val="32"/>
        </w:rPr>
      </w:pPr>
      <w:r>
        <w:rPr>
          <w:rFonts w:eastAsia="方正仿宋简体;微软雅黑" w:cs="Times New Roman"/>
          <w:spacing w:val="0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仿宋_GB2312;仿宋" w:hAnsi="仿宋_GB2312;仿宋" w:eastAsia="仿宋_GB2312;仿宋" w:cs="仿宋_GB2312;仿宋" w:hint="eastAsia"/>
          <w:spacing w:val="0"/>
          <w:sz w:val="32"/>
        </w:rPr>
      </w:pPr>
      <w:r>
        <w:rPr>
          <w:rFonts w:ascii="仿宋_GB2312;仿宋" w:hAnsi="仿宋_GB2312;仿宋" w:cs="仿宋_GB2312;仿宋" w:hint="eastAsia"/>
          <w:spacing w:val="0"/>
          <w:sz w:val="32"/>
        </w:rPr>
        <w:t>福州市第十五届人民代表大会常务委员会第三十五次会议决定：废止《福州市城市房屋产权产籍管理办法》（</w:t>
      </w:r>
      <w:r>
        <w:rPr>
          <w:rFonts w:eastAsia="仿宋_GB2312;仿宋" w:cs="仿宋_GB2312;仿宋" w:hint="eastAsia" w:ascii="仿宋_GB2312;仿宋" w:hAnsi="仿宋_GB2312;仿宋"/>
          <w:spacing w:val="0"/>
          <w:sz w:val="32"/>
        </w:rPr>
        <w:t>1993</w:t>
      </w:r>
      <w:r>
        <w:rPr>
          <w:rFonts w:ascii="仿宋_GB2312;仿宋" w:hAnsi="仿宋_GB2312;仿宋" w:cs="仿宋_GB2312;仿宋" w:hint="eastAsia"/>
          <w:spacing w:val="0"/>
          <w:sz w:val="32"/>
        </w:rPr>
        <w:t>年</w:t>
      </w:r>
      <w:r>
        <w:rPr>
          <w:rFonts w:eastAsia="仿宋_GB2312;仿宋" w:cs="仿宋_GB2312;仿宋" w:hint="eastAsia" w:ascii="仿宋_GB2312;仿宋" w:hAnsi="仿宋_GB2312;仿宋"/>
          <w:spacing w:val="0"/>
          <w:sz w:val="32"/>
        </w:rPr>
        <w:t>7</w:t>
      </w:r>
      <w:r>
        <w:rPr>
          <w:rFonts w:ascii="仿宋_GB2312;仿宋" w:hAnsi="仿宋_GB2312;仿宋" w:cs="仿宋_GB2312;仿宋" w:hint="eastAsia"/>
          <w:spacing w:val="0"/>
          <w:sz w:val="32"/>
        </w:rPr>
        <w:t>月</w:t>
      </w:r>
      <w:r>
        <w:rPr>
          <w:rFonts w:eastAsia="仿宋_GB2312;仿宋" w:cs="仿宋_GB2312;仿宋" w:hint="eastAsia" w:ascii="仿宋_GB2312;仿宋" w:hAnsi="仿宋_GB2312;仿宋"/>
          <w:spacing w:val="0"/>
          <w:sz w:val="32"/>
        </w:rPr>
        <w:t>27</w:t>
      </w:r>
      <w:r>
        <w:rPr>
          <w:rFonts w:ascii="仿宋_GB2312;仿宋" w:hAnsi="仿宋_GB2312;仿宋" w:cs="仿宋_GB2312;仿宋" w:hint="eastAsia"/>
          <w:spacing w:val="0"/>
          <w:sz w:val="32"/>
        </w:rPr>
        <w:t>日福州市第十届人民代表大会常务委员会第三次会议通过，</w:t>
      </w:r>
      <w:r>
        <w:rPr>
          <w:rFonts w:eastAsia="仿宋_GB2312;仿宋" w:cs="仿宋_GB2312;仿宋" w:hint="eastAsia" w:ascii="仿宋_GB2312;仿宋" w:hAnsi="仿宋_GB2312;仿宋"/>
          <w:spacing w:val="0"/>
          <w:sz w:val="32"/>
        </w:rPr>
        <w:t>1993</w:t>
      </w:r>
      <w:r>
        <w:rPr>
          <w:rFonts w:ascii="仿宋_GB2312;仿宋" w:hAnsi="仿宋_GB2312;仿宋" w:cs="仿宋_GB2312;仿宋" w:hint="eastAsia"/>
          <w:spacing w:val="0"/>
          <w:sz w:val="32"/>
        </w:rPr>
        <w:t>年</w:t>
      </w:r>
      <w:r>
        <w:rPr>
          <w:rFonts w:eastAsia="仿宋_GB2312;仿宋" w:cs="仿宋_GB2312;仿宋" w:hint="eastAsia" w:ascii="仿宋_GB2312;仿宋" w:hAnsi="仿宋_GB2312;仿宋"/>
          <w:spacing w:val="0"/>
          <w:sz w:val="32"/>
        </w:rPr>
        <w:t>9</w:t>
      </w:r>
      <w:r>
        <w:rPr>
          <w:rFonts w:ascii="仿宋_GB2312;仿宋" w:hAnsi="仿宋_GB2312;仿宋" w:cs="仿宋_GB2312;仿宋" w:hint="eastAsia"/>
          <w:spacing w:val="0"/>
          <w:sz w:val="32"/>
        </w:rPr>
        <w:t>月</w:t>
      </w:r>
      <w:r>
        <w:rPr>
          <w:rFonts w:eastAsia="仿宋_GB2312;仿宋" w:cs="仿宋_GB2312;仿宋" w:hint="eastAsia" w:ascii="仿宋_GB2312;仿宋" w:hAnsi="仿宋_GB2312;仿宋"/>
          <w:spacing w:val="0"/>
          <w:sz w:val="32"/>
        </w:rPr>
        <w:t>24</w:t>
      </w:r>
      <w:r>
        <w:rPr>
          <w:rFonts w:ascii="仿宋_GB2312;仿宋" w:hAnsi="仿宋_GB2312;仿宋" w:cs="仿宋_GB2312;仿宋" w:hint="eastAsia"/>
          <w:spacing w:val="0"/>
          <w:sz w:val="32"/>
        </w:rPr>
        <w:t>日福建省第八届人民代表大会常务委员会第五次会议批准）。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仿宋_GB2312;仿宋" w:hAnsi="仿宋_GB2312;仿宋" w:eastAsia="仿宋_GB2312;仿宋" w:cs="仿宋_GB2312;仿宋" w:hint="eastAsia"/>
          <w:spacing w:val="0"/>
          <w:kern w:val="2"/>
          <w:sz w:val="32"/>
        </w:rPr>
      </w:pPr>
      <w:r>
        <w:rPr>
          <w:rFonts w:ascii="仿宋_GB2312;仿宋" w:hAnsi="仿宋_GB2312;仿宋" w:cs="仿宋_GB2312;仿宋" w:hint="eastAsia"/>
          <w:spacing w:val="0"/>
          <w:kern w:val="2"/>
          <w:sz w:val="32"/>
        </w:rPr>
        <w:t>本决定自公布之日起施行。</w:t>
      </w:r>
    </w:p>
    <w:sectPr>
      <w:headerReference w:type="default" r:id="rId2"/>
      <w:footerReference w:type="default" r:id="rId3"/>
      <w:type w:val="nextPage"/>
      <w:pgSz w:w="11906" w:h="16838"/>
      <w:pgMar w:left="1531" w:right="1531" w:gutter="0" w:header="851" w:top="1814" w:footer="1701" w:bottom="1814"/>
      <w:pgNumType w:fmt="decimal"/>
      <w:formProt w:val="false"/>
      <w:textDirection w:val="lrTb"/>
      <w:docGrid w:type="lines" w:linePitch="435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86"/>
    <w:family w:val="roman"/>
    <w:pitch w:val="default"/>
  </w:font>
  <w:font w:name="Arial">
    <w:charset w:val="01"/>
    <w:family w:val="swiss"/>
    <w:pitch w:val="default"/>
  </w:font>
  <w:font w:name="仿宋">
    <w:charset w:val="86"/>
    <w:family w:val="auto"/>
    <w:pitch w:val="default"/>
  </w:font>
  <w:font w:name="宋体">
    <w:charset w:val="86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方正仿宋_GBK">
    <w:altName w:val="微软雅黑"/>
    <w:charset w:val="86"/>
    <w:family w:val="script"/>
    <w:pitch w:val="default"/>
  </w:font>
  <w:font w:name="Tahoma">
    <w:charset w:val="00" w:characterSet="windows-1252"/>
    <w:family w:val="swiss"/>
    <w:pitch w:val="default"/>
  </w:font>
  <w:font w:name="楷体_GB2312">
    <w:altName w:val="楷体"/>
    <w:charset w:val="86"/>
    <w:family w:val="modern"/>
    <w:pitch w:val="default"/>
  </w:font>
  <w:font w:name="仿宋_GB2312">
    <w:altName w:val="仿宋"/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0" simplePos="0" relativeHeight="2" behindDoc="1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624205" cy="226695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4205" cy="22669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eastAsia="仿宋_GB2312;仿宋" w:cs="仿宋_GB2312;仿宋" w:hint="eastAsia" w:ascii="仿宋_GB2312;仿宋" w:hAnsi="仿宋_GB2312;仿宋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eastAsia="仿宋_GB2312;仿宋" w:cs="仿宋_GB2312;仿宋" w:hint="eastAsia" w:ascii="仿宋_GB2312;仿宋" w:hAnsi="仿宋_GB2312;仿宋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Fonts w:eastAsia="仿宋_GB2312;仿宋" w:cs="仿宋_GB2312;仿宋" w:hint="eastAsia" w:ascii="仿宋_GB2312;仿宋" w:hAnsi="仿宋_GB2312;仿宋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eastAsia="仿宋_GB2312;仿宋" w:cs="仿宋_GB2312;仿宋" w:hint="eastAsia" w:ascii="仿宋_GB2312;仿宋" w:hAnsi="仿宋_GB2312;仿宋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eastAsia="仿宋_GB2312;仿宋" w:cs="仿宋_GB2312;仿宋" w:hint="eastAsia" w:ascii="仿宋_GB2312;仿宋" w:hAnsi="仿宋_GB2312;仿宋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9.15pt;height:17.85pt;mso-wrap-distance-left:9.05pt;mso-wrap-distance-right:0pt;mso-wrap-distance-top:0pt;mso-wrap-distance-bottom:0pt;margin-top:0pt;mso-position-vertical-relative:text;margin-left:393.05pt;mso-position-horizontal:outside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>
                        <w:rFonts w:hint="eastAsia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eastAsia="仿宋_GB2312;仿宋" w:cs="仿宋_GB2312;仿宋" w:hint="eastAsia" w:ascii="仿宋_GB2312;仿宋" w:hAnsi="仿宋_GB2312;仿宋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eastAsia="仿宋_GB2312;仿宋" w:cs="仿宋_GB2312;仿宋" w:hint="eastAsia" w:ascii="仿宋_GB2312;仿宋" w:hAnsi="仿宋_GB2312;仿宋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Fonts w:eastAsia="仿宋_GB2312;仿宋" w:cs="仿宋_GB2312;仿宋" w:hint="eastAsia" w:ascii="仿宋_GB2312;仿宋" w:hAnsi="仿宋_GB2312;仿宋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eastAsia="仿宋_GB2312;仿宋" w:cs="仿宋_GB2312;仿宋" w:hint="eastAsia" w:ascii="仿宋_GB2312;仿宋" w:hAnsi="仿宋_GB2312;仿宋"/>
                        <w:sz w:val="28"/>
                        <w:szCs w:val="28"/>
                      </w:rPr>
                      <w:t>1</w:t>
                    </w:r>
                    <w:r>
                      <w:rPr>
                        <w:rFonts w:eastAsia="仿宋_GB2312;仿宋" w:cs="仿宋_GB2312;仿宋" w:hint="eastAsia" w:ascii="仿宋_GB2312;仿宋" w:hAnsi="仿宋_GB2312;仿宋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Default"/>
    <w:qFormat/>
    <w:pPr>
      <w:widowControl w:val="false"/>
      <w:bidi w:val="0"/>
      <w:jc w:val="both"/>
    </w:pPr>
    <w:rPr>
      <w:rFonts w:ascii="Times New Roman" w:hAnsi="Times New Roman" w:eastAsia="仿宋_GB2312;仿宋" w:cs="Times New Roman"/>
      <w:color w:val="auto"/>
      <w:kern w:val="2"/>
      <w:sz w:val="32"/>
      <w:szCs w:val="20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uto" w:line="576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uto" w:line="415" w:before="260" w:after="260"/>
      <w:outlineLvl w:val="1"/>
    </w:pPr>
    <w:rPr>
      <w:rFonts w:ascii="Arial" w:hAnsi="Arial" w:eastAsia="黑体" w:cs="Arial"/>
      <w:b/>
      <w:bCs/>
      <w:sz w:val="32"/>
      <w:szCs w:val="32"/>
    </w:rPr>
  </w:style>
  <w:style w:type="character" w:styleId="Style12">
    <w:name w:val="默认段落字体"/>
    <w:qFormat/>
    <w:rPr/>
  </w:style>
  <w:style w:type="character" w:styleId="1Char">
    <w:name w:val="标题 1 Char"/>
    <w:basedOn w:val="Style12"/>
    <w:qFormat/>
    <w:rPr>
      <w:b/>
      <w:bCs/>
      <w:kern w:val="2"/>
      <w:sz w:val="44"/>
      <w:szCs w:val="44"/>
    </w:rPr>
  </w:style>
  <w:style w:type="character" w:styleId="2Char">
    <w:name w:val="标题 2 Char"/>
    <w:basedOn w:val="Style12"/>
    <w:qFormat/>
    <w:rPr>
      <w:rFonts w:ascii="Arial" w:hAnsi="Arial" w:eastAsia="黑体" w:cs="Arial"/>
      <w:b/>
      <w:bCs/>
      <w:sz w:val="32"/>
      <w:szCs w:val="32"/>
    </w:rPr>
  </w:style>
  <w:style w:type="character" w:styleId="Char">
    <w:name w:val="日期 Char"/>
    <w:basedOn w:val="Style12"/>
    <w:qFormat/>
    <w:rPr>
      <w:rFonts w:ascii="Times New Roman" w:hAnsi="Times New Roman" w:eastAsia="仿宋_GB2312;仿宋" w:cs="Times New Roman"/>
      <w:sz w:val="32"/>
      <w:szCs w:val="20"/>
    </w:rPr>
  </w:style>
  <w:style w:type="character" w:styleId="Char1">
    <w:name w:val="批注框文本 Char1"/>
    <w:basedOn w:val="Style12"/>
    <w:qFormat/>
    <w:rPr>
      <w:rFonts w:ascii="Times New Roman" w:hAnsi="Times New Roman" w:eastAsia="仿宋_GB2312;仿宋" w:cs="Times New Roman"/>
      <w:sz w:val="18"/>
      <w:szCs w:val="18"/>
    </w:rPr>
  </w:style>
  <w:style w:type="character" w:styleId="Char2">
    <w:name w:val="页脚 Char"/>
    <w:basedOn w:val="Style12"/>
    <w:qFormat/>
    <w:rPr>
      <w:sz w:val="18"/>
      <w:szCs w:val="18"/>
    </w:rPr>
  </w:style>
  <w:style w:type="character" w:styleId="Char3">
    <w:name w:val="页眉 Char"/>
    <w:basedOn w:val="Style12"/>
    <w:qFormat/>
    <w:rPr>
      <w:sz w:val="18"/>
      <w:szCs w:val="18"/>
    </w:rPr>
  </w:style>
  <w:style w:type="character" w:styleId="2Char1">
    <w:name w:val="正文文本 2 Char"/>
    <w:basedOn w:val="Style12"/>
    <w:qFormat/>
    <w:rPr>
      <w:rFonts w:ascii="Times New Roman" w:hAnsi="Times New Roman" w:eastAsia="宋体" w:cs="Times New Roman"/>
      <w:b/>
      <w:bCs/>
      <w:sz w:val="44"/>
      <w:szCs w:val="24"/>
    </w:rPr>
  </w:style>
  <w:style w:type="character" w:styleId="Strong">
    <w:name w:val="Strong"/>
    <w:basedOn w:val="Style12"/>
    <w:qFormat/>
    <w:rPr>
      <w:b/>
      <w:bCs/>
    </w:rPr>
  </w:style>
  <w:style w:type="character" w:styleId="PageNumber">
    <w:name w:val="page number"/>
    <w:basedOn w:val="Style12"/>
    <w:rPr/>
  </w:style>
  <w:style w:type="character" w:styleId="Hyperlink">
    <w:name w:val="Hyperlink"/>
    <w:basedOn w:val="Style12"/>
    <w:rPr>
      <w:color w:val="0000FF"/>
      <w:u w:val="single"/>
    </w:rPr>
  </w:style>
  <w:style w:type="character" w:styleId="NormalCharacter">
    <w:name w:val="NormalCharacter"/>
    <w:qFormat/>
    <w:rPr/>
  </w:style>
  <w:style w:type="character" w:styleId="font41">
    <w:name w:val="font41"/>
    <w:basedOn w:val="Style12"/>
    <w:qFormat/>
    <w:rPr>
      <w:rFonts w:ascii="仿宋" w:hAnsi="仿宋" w:eastAsia="仿宋" w:cs="仿宋"/>
      <w:color w:val="000000"/>
      <w:sz w:val="24"/>
      <w:szCs w:val="24"/>
      <w:u w:val="none"/>
    </w:rPr>
  </w:style>
  <w:style w:type="character" w:styleId="Char4">
    <w:name w:val="批注框文本 Char"/>
    <w:basedOn w:val="Style12"/>
    <w:qFormat/>
    <w:rPr>
      <w:rFonts w:ascii="宋体" w:hAnsi="宋体" w:eastAsia="宋体" w:cs="宋体"/>
      <w:sz w:val="18"/>
      <w:szCs w:val="18"/>
    </w:rPr>
  </w:style>
  <w:style w:type="character" w:styleId="font71">
    <w:name w:val="font71"/>
    <w:basedOn w:val="Style12"/>
    <w:qFormat/>
    <w:rPr>
      <w:rFonts w:ascii="仿宋" w:hAnsi="仿宋" w:eastAsia="仿宋" w:cs="仿宋"/>
      <w:color w:val="000000"/>
      <w:sz w:val="20"/>
      <w:szCs w:val="20"/>
      <w:u w:val="none"/>
    </w:rPr>
  </w:style>
  <w:style w:type="character" w:styleId="font81">
    <w:name w:val="font81"/>
    <w:basedOn w:val="Style12"/>
    <w:qFormat/>
    <w:rPr>
      <w:rFonts w:ascii="宋体" w:hAnsi="宋体" w:eastAsia="宋体" w:cs="宋体" w:hint="eastAsia"/>
      <w:color w:val="000000"/>
      <w:sz w:val="20"/>
      <w:szCs w:val="20"/>
      <w:u w:val="none"/>
    </w:rPr>
  </w:style>
  <w:style w:type="character" w:styleId="font21">
    <w:name w:val="font21"/>
    <w:basedOn w:val="Style12"/>
    <w:qFormat/>
    <w:rPr>
      <w:rFonts w:ascii="仿宋" w:hAnsi="仿宋" w:eastAsia="仿宋" w:cs="仿宋"/>
      <w:color w:val="000000"/>
      <w:sz w:val="32"/>
      <w:szCs w:val="32"/>
      <w:u w:val="none"/>
    </w:rPr>
  </w:style>
  <w:style w:type="character" w:styleId="normal105">
    <w:name w:val="normal105"/>
    <w:basedOn w:val="Style12"/>
    <w:qFormat/>
    <w:rPr>
      <w:rFonts w:ascii="Times New Roman" w:hAnsi="Times New Roman" w:eastAsia="宋体" w:cs="Times New Roma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Default">
    <w:name w:val="Default"/>
    <w:qFormat/>
    <w:pPr>
      <w:widowControl w:val="false"/>
      <w:autoSpaceDE w:val="false"/>
      <w:bidi w:val="0"/>
    </w:pPr>
    <w:rPr>
      <w:rFonts w:ascii="方正仿宋_GBK;微软雅黑" w:hAnsi="方正仿宋_GBK;微软雅黑" w:eastAsia="方正仿宋_GBK;微软雅黑" w:cs="Times New Roman" w:hint="eastAsia"/>
      <w:color w:val="000000"/>
      <w:sz w:val="24"/>
      <w:szCs w:val="22"/>
      <w:lang w:bidi="ar-SA" w:val="en-US" w:eastAsia="zh-CN"/>
    </w:rPr>
  </w:style>
  <w:style w:type="paragraph" w:styleId="Char5">
    <w:name w:val="Char"/>
    <w:basedOn w:val="Normal"/>
    <w:qFormat/>
    <w:pPr>
      <w:widowControl/>
      <w:spacing w:lineRule="auto" w:line="360"/>
      <w:jc w:val="start"/>
    </w:pPr>
    <w:rPr/>
  </w:style>
  <w:style w:type="paragraph" w:styleId="6">
    <w:name w:val="索引 6"/>
    <w:basedOn w:val="Normal"/>
    <w:next w:val="Normal"/>
    <w:qFormat/>
    <w:pPr>
      <w:ind w:firstLineChars="0" w:firstLine="0" w:startChars="1000" w:endChars="0" w:end="0"/>
    </w:pPr>
    <w:rPr/>
  </w:style>
  <w:style w:type="paragraph" w:styleId="BodyTextIndent">
    <w:name w:val="Body Text Indent"/>
    <w:basedOn w:val="Normal"/>
    <w:pPr>
      <w:spacing w:before="0" w:after="120"/>
      <w:ind w:firstLineChars="0" w:firstLine="0" w:startChars="200" w:endChars="0" w:end="0"/>
    </w:pPr>
    <w:rPr/>
  </w:style>
  <w:style w:type="paragraph" w:styleId="Style13">
    <w:name w:val="纯文本"/>
    <w:basedOn w:val="Normal"/>
    <w:qFormat/>
    <w:pPr/>
    <w:rPr>
      <w:rFonts w:ascii="宋体" w:hAnsi="宋体" w:cs="Courier New"/>
    </w:rPr>
  </w:style>
  <w:style w:type="paragraph" w:styleId="Style14">
    <w:name w:val="日期"/>
    <w:basedOn w:val="Normal"/>
    <w:next w:val="Normal"/>
    <w:qFormat/>
    <w:pPr>
      <w:ind w:firstLineChars="0" w:firstLine="0" w:startChars="2500" w:endChars="0" w:end="0"/>
    </w:pPr>
    <w:rPr/>
  </w:style>
  <w:style w:type="paragraph" w:styleId="Style15">
    <w:name w:val="批注框文本"/>
    <w:basedOn w:val="Normal"/>
    <w:qFormat/>
    <w:pPr/>
    <w:rPr>
      <w:rFonts w:ascii="宋体" w:hAnsi="宋体" w:eastAsia="宋体" w:cs="Times New Roman"/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2">
    <w:name w:val="正文文本 2"/>
    <w:basedOn w:val="Normal"/>
    <w:qFormat/>
    <w:pPr>
      <w:jc w:val="center"/>
    </w:pPr>
    <w:rPr>
      <w:rFonts w:eastAsia="宋体"/>
      <w:b/>
      <w:bCs/>
      <w:sz w:val="44"/>
      <w:szCs w:val="24"/>
    </w:rPr>
  </w:style>
  <w:style w:type="paragraph" w:styleId="Style16">
    <w:name w:val="普通(网站)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21">
    <w:name w:val="正文首行缩进 2"/>
    <w:basedOn w:val="Normal"/>
    <w:next w:val="Normal"/>
    <w:qFormat/>
    <w:pPr>
      <w:ind w:firstLineChars="200" w:startChars="0" w:start="0" w:endChars="0" w:end="0"/>
    </w:pPr>
    <w:rPr/>
  </w:style>
  <w:style w:type="paragraph" w:styleId="p19">
    <w:name w:val="p19"/>
    <w:basedOn w:val="Normal"/>
    <w:next w:val="6"/>
    <w:qFormat/>
    <w:pPr>
      <w:widowControl/>
    </w:pPr>
    <w:rPr>
      <w:rFonts w:eastAsia="宋体"/>
      <w:kern w:val="0"/>
      <w:sz w:val="21"/>
    </w:rPr>
  </w:style>
  <w:style w:type="paragraph" w:styleId="msonormalmsonormal">
    <w:name w:val="msonormal msonormal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  <w:szCs w:val="24"/>
    </w:rPr>
  </w:style>
  <w:style w:type="paragraph" w:styleId="p0">
    <w:name w:val="p0"/>
    <w:basedOn w:val="Normal"/>
    <w:qFormat/>
    <w:pPr>
      <w:keepNext w:val="false"/>
      <w:keepLines w:val="false"/>
      <w:widowControl/>
      <w:spacing w:lineRule="atLeast" w:line="240" w:before="0" w:after="0"/>
      <w:ind w:hanging="0" w:start="0" w:end="0"/>
      <w:jc w:val="both"/>
    </w:pPr>
    <w:rPr>
      <w:rFonts w:ascii="Times New Roman" w:hAnsi="Times New Roman" w:eastAsia="仿宋_GB2312;仿宋" w:cs="Times New Roman"/>
      <w:spacing w:val="-6"/>
      <w:kern w:val="0"/>
      <w:sz w:val="32"/>
    </w:rPr>
  </w:style>
  <w:style w:type="paragraph" w:styleId="CharChar">
    <w:name w:val="Char Char"/>
    <w:basedOn w:val="Normal"/>
    <w:qFormat/>
    <w:pPr>
      <w:widowControl/>
      <w:snapToGrid w:val="false"/>
      <w:spacing w:lineRule="auto" w:line="360" w:before="0" w:after="160"/>
      <w:jc w:val="start"/>
    </w:pPr>
    <w:rPr>
      <w:rFonts w:ascii="Tahoma" w:hAnsi="Tahoma" w:eastAsia="Times New Roman" w:cs="Tahoma"/>
      <w:sz w:val="24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2016-06-16T17:31:00Z</dcterms:created>
  <dc:creator>微软用户</dc:creator>
  <dc:description/>
  <dc:language>en-US</dc:language>
  <cp:lastModifiedBy>碎花裙 °</cp:lastModifiedBy>
  <cp:lastPrinted>2021-06-18T10:30:00Z</cp:lastPrinted>
  <dcterms:modified xsi:type="dcterms:W3CDTF">2021-07-31T10:58:14Z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7AD0FEFAC23B412484E44D5F8329B5B9</vt:lpwstr>
  </property>
  <property fmtid="{D5CDD505-2E9C-101B-9397-08002B2CF9AE}" pid="3" name="KSOProductBuildVer">
    <vt:lpwstr>2052-11.1.0.10667</vt:lpwstr>
  </property>
</Properties>
</file>