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overflowPunct w:val="false"/>
        <w:rPr>
          <w:rFonts w:ascii="Times New Roman" w:hAnsi="Times New Roman" w:eastAsia="仿宋"/>
          <w:color w:val="000000"/>
          <w:spacing w:val="-2"/>
        </w:rPr>
      </w:pPr>
      <w:r>
        <w:rPr>
          <w:rFonts w:eastAsia="仿宋" w:ascii="Times New Roman" w:hAnsi="Times New Roman"/>
          <w:color w:val="000000"/>
          <w:spacing w:val="-2"/>
        </w:rPr>
      </w:r>
    </w:p>
    <w:p>
      <w:pPr>
        <w:pStyle w:val="CharCharCharCharCharCharCharCharCharCharChar1"/>
        <w:overflowPunct w:val="false"/>
        <w:spacing w:lineRule="exact" w:line="580"/>
        <w:jc w:val="center"/>
        <w:rPr>
          <w:rFonts w:ascii="Times New Roman" w:hAnsi="Times New Roman" w:eastAsia="方正小标宋简体" w:cs="Times New Roman"/>
          <w:color w:val="000000"/>
          <w:sz w:val="44"/>
          <w:szCs w:val="44"/>
        </w:rPr>
      </w:pPr>
      <w:r>
        <w:rPr>
          <w:rFonts w:ascii="Times New Roman" w:hAnsi="Times New Roman" w:cs="Times New Roman" w:eastAsia="方正小标宋简体"/>
          <w:color w:val="000000"/>
          <w:sz w:val="44"/>
          <w:szCs w:val="44"/>
        </w:rPr>
        <w:t>北京市烟花爆竹安全管理规定</w:t>
      </w:r>
    </w:p>
    <w:p>
      <w:pPr>
        <w:pStyle w:val="Normal"/>
        <w:overflowPunct w:val="false"/>
        <w:spacing w:lineRule="exact" w:line="580"/>
        <w:ind w:firstLineChars="0" w:firstLine="0" w:startChars="400" w:endChars="400"/>
        <w:rPr>
          <w:rFonts w:eastAsia="楷体_GB2312"/>
          <w:color w:val="000000"/>
          <w:sz w:val="32"/>
          <w:szCs w:val="32"/>
        </w:rPr>
      </w:pPr>
      <w:r>
        <w:rPr>
          <w:rFonts w:eastAsia="楷体_GB2312"/>
          <w:bCs/>
          <w:color w:val="000000"/>
          <w:sz w:val="32"/>
          <w:szCs w:val="32"/>
        </w:rPr>
        <w:t>（</w:t>
      </w:r>
      <w:r>
        <w:rPr>
          <w:rFonts w:eastAsia="楷体_GB2312"/>
          <w:bCs/>
          <w:color w:val="000000"/>
          <w:sz w:val="32"/>
          <w:szCs w:val="32"/>
        </w:rPr>
        <w:t>2005</w:t>
      </w:r>
      <w:r>
        <w:rPr>
          <w:rFonts w:eastAsia="楷体_GB2312"/>
          <w:bCs/>
          <w:color w:val="000000"/>
          <w:sz w:val="32"/>
          <w:szCs w:val="32"/>
        </w:rPr>
        <w:t>年</w:t>
      </w:r>
      <w:r>
        <w:rPr>
          <w:rFonts w:eastAsia="楷体_GB2312"/>
          <w:bCs/>
          <w:color w:val="000000"/>
          <w:sz w:val="32"/>
          <w:szCs w:val="32"/>
        </w:rPr>
        <w:t>9</w:t>
      </w:r>
      <w:r>
        <w:rPr>
          <w:rFonts w:eastAsia="楷体_GB2312"/>
          <w:bCs/>
          <w:color w:val="000000"/>
          <w:sz w:val="32"/>
          <w:szCs w:val="32"/>
        </w:rPr>
        <w:t>月</w:t>
      </w:r>
      <w:r>
        <w:rPr>
          <w:rFonts w:eastAsia="楷体_GB2312"/>
          <w:bCs/>
          <w:color w:val="000000"/>
          <w:sz w:val="32"/>
          <w:szCs w:val="32"/>
        </w:rPr>
        <w:t>9</w:t>
      </w:r>
      <w:r>
        <w:rPr>
          <w:rFonts w:eastAsia="楷体_GB2312"/>
          <w:bCs/>
          <w:color w:val="000000"/>
          <w:sz w:val="32"/>
          <w:szCs w:val="32"/>
        </w:rPr>
        <w:t>日北京市第十二届人民代表大会常务委员会第二十二次会议通过　根据</w:t>
      </w:r>
      <w:r>
        <w:rPr>
          <w:rFonts w:eastAsia="楷体_GB2312"/>
          <w:bCs/>
          <w:color w:val="000000"/>
          <w:sz w:val="32"/>
          <w:szCs w:val="32"/>
        </w:rPr>
        <w:t>2010</w:t>
      </w:r>
      <w:r>
        <w:rPr>
          <w:rFonts w:eastAsia="楷体_GB2312"/>
          <w:bCs/>
          <w:color w:val="000000"/>
          <w:sz w:val="32"/>
          <w:szCs w:val="32"/>
        </w:rPr>
        <w:t>年</w:t>
      </w:r>
      <w:r>
        <w:rPr>
          <w:rFonts w:eastAsia="楷体_GB2312"/>
          <w:bCs/>
          <w:color w:val="000000"/>
          <w:sz w:val="32"/>
          <w:szCs w:val="32"/>
        </w:rPr>
        <w:t>12</w:t>
      </w:r>
      <w:r>
        <w:rPr>
          <w:rFonts w:eastAsia="楷体_GB2312"/>
          <w:bCs/>
          <w:color w:val="000000"/>
          <w:sz w:val="32"/>
          <w:szCs w:val="32"/>
        </w:rPr>
        <w:t>月</w:t>
      </w:r>
      <w:r>
        <w:rPr>
          <w:rFonts w:eastAsia="楷体_GB2312"/>
          <w:bCs/>
          <w:color w:val="000000"/>
          <w:sz w:val="32"/>
          <w:szCs w:val="32"/>
        </w:rPr>
        <w:t>23</w:t>
      </w:r>
      <w:r>
        <w:rPr>
          <w:rFonts w:eastAsia="楷体_GB2312"/>
          <w:bCs/>
          <w:color w:val="000000"/>
          <w:sz w:val="32"/>
          <w:szCs w:val="32"/>
        </w:rPr>
        <w:t>日北京市第十三届人民代表大会常务委员会第二十二次会议《关于修改部分地方性法规的决定》修正　根据</w:t>
      </w:r>
      <w:r>
        <w:rPr>
          <w:rFonts w:eastAsia="楷体_GB2312"/>
          <w:bCs/>
          <w:color w:val="000000"/>
          <w:sz w:val="32"/>
          <w:szCs w:val="32"/>
        </w:rPr>
        <w:t>2017</w:t>
      </w:r>
      <w:r>
        <w:rPr>
          <w:rFonts w:eastAsia="楷体_GB2312"/>
          <w:bCs/>
          <w:color w:val="000000"/>
          <w:sz w:val="32"/>
          <w:szCs w:val="32"/>
        </w:rPr>
        <w:t>年</w:t>
      </w:r>
      <w:r>
        <w:rPr>
          <w:rFonts w:eastAsia="楷体_GB2312"/>
          <w:bCs/>
          <w:color w:val="000000"/>
          <w:sz w:val="32"/>
          <w:szCs w:val="32"/>
        </w:rPr>
        <w:t>12</w:t>
      </w:r>
      <w:r>
        <w:rPr>
          <w:rFonts w:eastAsia="楷体_GB2312"/>
          <w:bCs/>
          <w:color w:val="000000"/>
          <w:sz w:val="32"/>
          <w:szCs w:val="32"/>
        </w:rPr>
        <w:t>月</w:t>
      </w:r>
      <w:r>
        <w:rPr>
          <w:rFonts w:eastAsia="楷体_GB2312"/>
          <w:bCs/>
          <w:color w:val="000000"/>
          <w:sz w:val="32"/>
          <w:szCs w:val="32"/>
        </w:rPr>
        <w:t>1</w:t>
      </w:r>
      <w:r>
        <w:rPr>
          <w:rFonts w:eastAsia="楷体_GB2312"/>
          <w:bCs/>
          <w:color w:val="000000"/>
          <w:sz w:val="32"/>
          <w:szCs w:val="32"/>
        </w:rPr>
        <w:t>日北京市第十四届人民代表大会常务委员会第四十二次会议</w:t>
      </w:r>
      <w:r>
        <w:rPr>
          <w:rFonts w:eastAsia="楷体_GB2312"/>
          <w:color w:val="000000"/>
          <w:sz w:val="32"/>
          <w:szCs w:val="32"/>
        </w:rPr>
        <w:t>《关于修改〈北京市烟花爆竹安全管理规定〉的决定》第二次</w:t>
      </w:r>
      <w:r>
        <w:rPr>
          <w:rFonts w:eastAsia="楷体_GB2312"/>
          <w:bCs/>
          <w:color w:val="000000"/>
          <w:sz w:val="32"/>
          <w:szCs w:val="32"/>
        </w:rPr>
        <w:t>修正）</w:t>
      </w:r>
    </w:p>
    <w:p>
      <w:pPr>
        <w:pStyle w:val="CharCharCharCharCharCharCharCharCharCharChar1"/>
        <w:overflowPunct w:val="false"/>
        <w:spacing w:lineRule="exact" w:line="580"/>
        <w:ind w:firstLineChars="200" w:startChars="0" w:start="0" w:endChars="0" w:end="0"/>
        <w:jc w:val="center"/>
        <w:rPr>
          <w:rFonts w:ascii="Times New Roman" w:hAnsi="Times New Roman" w:eastAsia="方正小标宋简体" w:cs="Times New Roman"/>
          <w:color w:val="000000"/>
          <w:sz w:val="44"/>
          <w:szCs w:val="44"/>
        </w:rPr>
      </w:pPr>
      <w:r>
        <w:rPr>
          <w:rFonts w:eastAsia="方正小标宋简体" w:cs="Times New Roman" w:ascii="Times New Roman" w:hAnsi="Times New Roman"/>
          <w:color w:val="000000"/>
          <w:sz w:val="44"/>
          <w:szCs w:val="44"/>
        </w:rPr>
      </w:r>
    </w:p>
    <w:p>
      <w:pPr>
        <w:pStyle w:val="Normal"/>
        <w:overflowPunct w:val="false"/>
        <w:spacing w:lineRule="exact" w:line="580"/>
        <w:ind w:firstLineChars="200" w:startChars="0" w:start="0" w:endChars="0" w:end="0"/>
        <w:rPr>
          <w:rFonts w:eastAsia="仿宋_GB2312"/>
          <w:bCs/>
          <w:color w:val="000000"/>
          <w:sz w:val="32"/>
          <w:szCs w:val="32"/>
        </w:rPr>
      </w:pPr>
      <w:r>
        <w:rPr>
          <w:rFonts w:cs="黑体;SimHei" w:eastAsia="黑体;SimHei"/>
          <w:bCs/>
          <w:color w:val="000000"/>
          <w:sz w:val="32"/>
          <w:szCs w:val="32"/>
        </w:rPr>
        <w:t>第一条</w:t>
      </w:r>
      <w:r>
        <w:rPr>
          <w:rFonts w:eastAsia="仿宋_GB2312"/>
          <w:bCs/>
          <w:color w:val="000000"/>
          <w:sz w:val="32"/>
          <w:szCs w:val="32"/>
        </w:rPr>
        <w:t>　为了加强烟花爆竹安全管理，保障国家、集体财产和公民人身财产安全，改善环境质量，维护社会秩序，根据国家有关法律、法规，结合本市实际情况，制定本规定。</w:t>
      </w:r>
    </w:p>
    <w:p>
      <w:pPr>
        <w:pStyle w:val="Normal"/>
        <w:overflowPunct w:val="false"/>
        <w:spacing w:lineRule="exact" w:line="580"/>
        <w:ind w:firstLineChars="200" w:startChars="0" w:start="0" w:endChars="0" w:end="0"/>
        <w:rPr/>
      </w:pPr>
      <w:r>
        <w:rPr>
          <w:rFonts w:cs="黑体;SimHei" w:eastAsia="黑体;SimHei"/>
          <w:bCs/>
          <w:color w:val="000000"/>
          <w:sz w:val="32"/>
          <w:szCs w:val="32"/>
        </w:rPr>
        <w:t>第二条</w:t>
      </w:r>
      <w:r>
        <w:rPr>
          <w:rFonts w:eastAsia="仿宋_GB2312"/>
          <w:bCs/>
          <w:color w:val="000000"/>
          <w:sz w:val="32"/>
          <w:szCs w:val="32"/>
        </w:rPr>
        <w:t>　在本市行政区域内生产、销售、储存、运输、燃放烟花爆竹的安全管理工作适用本规定。法律、法规另有规定的，从其规定。</w:t>
      </w:r>
    </w:p>
    <w:p>
      <w:pPr>
        <w:pStyle w:val="Normal"/>
        <w:shd w:fill="FFFFFF" w:val="clear"/>
        <w:overflowPunct w:val="false"/>
        <w:spacing w:lineRule="exact" w:line="580"/>
        <w:ind w:firstLineChars="200" w:startChars="0" w:start="0" w:endChars="0" w:end="0"/>
        <w:rPr/>
      </w:pPr>
      <w:r>
        <w:rPr>
          <w:rFonts w:cs="黑体;SimHei" w:eastAsia="黑体;SimHei"/>
          <w:bCs/>
          <w:color w:val="000000"/>
          <w:sz w:val="32"/>
          <w:szCs w:val="32"/>
        </w:rPr>
        <w:t>第三条</w:t>
      </w:r>
      <w:r>
        <w:rPr>
          <w:rFonts w:eastAsia="仿宋_GB2312"/>
          <w:bCs/>
          <w:color w:val="000000"/>
          <w:sz w:val="32"/>
          <w:szCs w:val="32"/>
        </w:rPr>
        <w:t>　本规定由本市各级人民政府组织实施。公安机关是烟花爆竹安全管理工作的主管机关。</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市、区应当建立由公安、工商行政管理、安全生产监督管理、质量技术监督、交通、市政管理等行政部门和城市管理综合执法组织组成的烟花爆竹安全管理协调工作机制，按照职责分工，各负其责。</w:t>
      </w:r>
    </w:p>
    <w:p>
      <w:pPr>
        <w:pStyle w:val="Normal"/>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居民委员会、村民委员会和其他基层组织应当协助本市各级人民政府做好烟花爆竹的安全管理工作。</w:t>
      </w:r>
    </w:p>
    <w:p>
      <w:pPr>
        <w:pStyle w:val="Normal"/>
        <w:shd w:fill="FFFFFF" w:val="clear"/>
        <w:overflowPunct w:val="false"/>
        <w:spacing w:lineRule="exact" w:line="580"/>
        <w:ind w:firstLineChars="200" w:startChars="0" w:start="0" w:endChars="0" w:end="0"/>
        <w:rPr/>
      </w:pPr>
      <w:r>
        <w:rPr>
          <w:rFonts w:cs="黑体;SimHei" w:eastAsia="黑体;SimHei"/>
          <w:bCs/>
          <w:color w:val="000000"/>
          <w:sz w:val="32"/>
          <w:szCs w:val="32"/>
        </w:rPr>
        <w:t>第四条</w:t>
      </w:r>
      <w:r>
        <w:rPr>
          <w:rFonts w:eastAsia="仿宋_GB2312"/>
          <w:bCs/>
          <w:color w:val="000000"/>
          <w:sz w:val="32"/>
          <w:szCs w:val="32"/>
        </w:rPr>
        <w:t>　本市各级人民政府、街道办事处和居民委员会、村民委员会，以及机关、团体、企事业单位和其他组织，应当开展依法、文明、安全燃放烟花爆竹的宣传、教育活动。</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中小学校应当对学生进行文明、安全燃放烟花爆竹的教育。</w:t>
      </w:r>
    </w:p>
    <w:p>
      <w:pPr>
        <w:pStyle w:val="Normal"/>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广播、电视、报刊等新闻媒体，应当做好烟花爆竹安全管理的宣传教育工作。</w:t>
      </w:r>
    </w:p>
    <w:p>
      <w:pPr>
        <w:pStyle w:val="Normal"/>
        <w:overflowPunct w:val="false"/>
        <w:spacing w:lineRule="exact" w:line="580"/>
        <w:ind w:firstLineChars="200" w:startChars="0" w:start="0" w:endChars="0" w:end="0"/>
        <w:rPr/>
      </w:pPr>
      <w:r>
        <w:rPr>
          <w:rFonts w:cs="黑体;SimHei" w:eastAsia="黑体;SimHei"/>
          <w:bCs/>
          <w:color w:val="000000"/>
          <w:sz w:val="32"/>
          <w:szCs w:val="32"/>
        </w:rPr>
        <w:t>第五条</w:t>
      </w:r>
      <w:r>
        <w:rPr>
          <w:rFonts w:eastAsia="仿宋_GB2312"/>
          <w:bCs/>
          <w:color w:val="000000"/>
          <w:sz w:val="32"/>
          <w:szCs w:val="32"/>
        </w:rPr>
        <w:t>　市、区人民政府对举报违法生产、销售、储存、运输烟花爆竹的人员予以奖励。</w:t>
      </w:r>
    </w:p>
    <w:p>
      <w:pPr>
        <w:pStyle w:val="Normal"/>
        <w:overflowPunct w:val="false"/>
        <w:spacing w:lineRule="exact" w:line="580"/>
        <w:ind w:firstLineChars="200" w:startChars="0" w:start="0" w:endChars="0" w:end="0"/>
        <w:rPr/>
      </w:pPr>
      <w:r>
        <w:rPr>
          <w:rFonts w:cs="黑体;SimHei" w:eastAsia="黑体;SimHei"/>
          <w:bCs/>
          <w:color w:val="000000"/>
          <w:sz w:val="32"/>
          <w:szCs w:val="32"/>
        </w:rPr>
        <w:t>第六条</w:t>
      </w:r>
      <w:r>
        <w:rPr>
          <w:rFonts w:eastAsia="仿宋_GB2312"/>
          <w:bCs/>
          <w:color w:val="000000"/>
          <w:sz w:val="32"/>
          <w:szCs w:val="32"/>
        </w:rPr>
        <w:t>　居民委员会、村民委员会和业主委员会可以召集居民会议、村民会议和业主会议，就本居住区域有关燃放烟花爆竹事项依法制定公约，并组织监督实施。居民、村民和业主应当遵守公约。</w:t>
      </w:r>
    </w:p>
    <w:p>
      <w:pPr>
        <w:pStyle w:val="Normal"/>
        <w:overflowPunct w:val="false"/>
        <w:spacing w:lineRule="exact" w:line="580"/>
        <w:ind w:firstLineChars="200" w:startChars="0" w:start="0" w:endChars="0" w:end="0"/>
        <w:rPr/>
      </w:pPr>
      <w:r>
        <w:rPr>
          <w:rFonts w:cs="黑体;SimHei" w:eastAsia="黑体;SimHei"/>
          <w:bCs/>
          <w:color w:val="000000"/>
          <w:sz w:val="32"/>
          <w:szCs w:val="32"/>
        </w:rPr>
        <w:t>第七条</w:t>
      </w:r>
      <w:r>
        <w:rPr>
          <w:rFonts w:eastAsia="仿宋_GB2312"/>
          <w:bCs/>
          <w:color w:val="000000"/>
          <w:sz w:val="32"/>
          <w:szCs w:val="32"/>
        </w:rPr>
        <w:t>　宾馆、酒店、婚庆服务经营等单位应当在各自经营活动范围内承担烟花爆竹安全管理责任，按照国家和本市的规定做好安全防范工作。</w:t>
      </w:r>
    </w:p>
    <w:p>
      <w:pPr>
        <w:pStyle w:val="Normal"/>
        <w:overflowPunct w:val="false"/>
        <w:spacing w:lineRule="exact" w:line="580"/>
        <w:ind w:firstLineChars="200" w:startChars="0" w:start="0" w:endChars="0" w:end="0"/>
        <w:rPr/>
      </w:pPr>
      <w:r>
        <w:rPr>
          <w:rFonts w:cs="黑体;SimHei" w:eastAsia="黑体;SimHei"/>
          <w:bCs/>
          <w:color w:val="000000"/>
          <w:sz w:val="32"/>
          <w:szCs w:val="32"/>
        </w:rPr>
        <w:t>第八条</w:t>
      </w:r>
      <w:r>
        <w:rPr>
          <w:rFonts w:eastAsia="仿宋_GB2312"/>
          <w:bCs/>
          <w:color w:val="000000"/>
          <w:sz w:val="32"/>
          <w:szCs w:val="32"/>
        </w:rPr>
        <w:t>　市人民政府应当与相邻省、市人民政府建立健全烟花爆竹安全管理区域协作机制，加强烟花爆竹流通管理、燃放管控、信息共享、协查处置等方面的区域合作。</w:t>
      </w:r>
    </w:p>
    <w:p>
      <w:pPr>
        <w:pStyle w:val="Normal"/>
        <w:overflowPunct w:val="false"/>
        <w:spacing w:lineRule="exact" w:line="580"/>
        <w:ind w:firstLineChars="200" w:startChars="0" w:start="0" w:endChars="0" w:end="0"/>
        <w:rPr/>
      </w:pPr>
      <w:r>
        <w:rPr>
          <w:rFonts w:cs="黑体;SimHei" w:eastAsia="黑体;SimHei"/>
          <w:bCs/>
          <w:color w:val="000000"/>
          <w:sz w:val="32"/>
          <w:szCs w:val="32"/>
        </w:rPr>
        <w:t>第九条</w:t>
      </w:r>
      <w:r>
        <w:rPr>
          <w:rFonts w:eastAsia="仿宋_GB2312"/>
          <w:bCs/>
          <w:color w:val="000000"/>
          <w:sz w:val="32"/>
          <w:szCs w:val="32"/>
        </w:rPr>
        <w:t>　本市行政区域内禁止生产烟花爆竹。本市对销售、运输烟花爆竹依法实行许可制度。</w:t>
      </w:r>
    </w:p>
    <w:p>
      <w:pPr>
        <w:pStyle w:val="Normal"/>
        <w:overflowPunct w:val="false"/>
        <w:spacing w:lineRule="exact" w:line="580"/>
        <w:ind w:firstLineChars="200" w:startChars="0" w:start="0" w:endChars="0" w:end="0"/>
        <w:rPr/>
      </w:pPr>
      <w:r>
        <w:rPr>
          <w:rFonts w:cs="黑体;SimHei" w:eastAsia="黑体;SimHei"/>
          <w:bCs/>
          <w:color w:val="000000"/>
          <w:sz w:val="32"/>
          <w:szCs w:val="32"/>
        </w:rPr>
        <w:t>第十条</w:t>
      </w:r>
      <w:r>
        <w:rPr>
          <w:rFonts w:eastAsia="仿宋_GB2312"/>
          <w:bCs/>
          <w:color w:val="000000"/>
          <w:sz w:val="32"/>
          <w:szCs w:val="32"/>
        </w:rPr>
        <w:t>　在本市销售烟花爆竹应当取得安全生产监督管理部门的许可，未经许可，不得销售并储存。销售储存场所的设置应当符合规定的安全条件。</w:t>
      </w:r>
    </w:p>
    <w:p>
      <w:pPr>
        <w:pStyle w:val="Normal"/>
        <w:shd w:fill="FFFFFF" w:val="clear"/>
        <w:overflowPunct w:val="false"/>
        <w:spacing w:lineRule="exact" w:line="580"/>
        <w:ind w:firstLineChars="200" w:startChars="0" w:start="0" w:endChars="0" w:end="0"/>
        <w:rPr/>
      </w:pPr>
      <w:r>
        <w:rPr>
          <w:rFonts w:cs="黑体;SimHei" w:eastAsia="黑体;SimHei"/>
          <w:bCs/>
          <w:color w:val="000000"/>
          <w:sz w:val="32"/>
          <w:szCs w:val="32"/>
        </w:rPr>
        <w:t>第十一条</w:t>
      </w:r>
      <w:r>
        <w:rPr>
          <w:rFonts w:eastAsia="仿宋_GB2312"/>
          <w:bCs/>
          <w:color w:val="000000"/>
          <w:sz w:val="32"/>
          <w:szCs w:val="32"/>
        </w:rPr>
        <w:t>　在本市行政区域内运输烟花爆竹，应当取得公安机关的运输许可，未经许可，不得运输。</w:t>
      </w:r>
    </w:p>
    <w:p>
      <w:pPr>
        <w:pStyle w:val="Normal"/>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承运单位运输烟花爆竹应当携带许可证件，按照核准载明的品种、数量、路线、有效期限等规定运输。</w:t>
      </w:r>
    </w:p>
    <w:p>
      <w:pPr>
        <w:pStyle w:val="Normal"/>
        <w:shd w:fill="FFFFFF" w:val="clear"/>
        <w:overflowPunct w:val="false"/>
        <w:spacing w:lineRule="exact" w:line="580"/>
        <w:ind w:firstLineChars="200" w:startChars="0" w:start="0" w:endChars="0" w:end="0"/>
        <w:rPr/>
      </w:pPr>
      <w:r>
        <w:rPr>
          <w:rFonts w:cs="黑体;SimHei" w:eastAsia="黑体;SimHei"/>
          <w:bCs/>
          <w:color w:val="000000"/>
          <w:sz w:val="32"/>
          <w:szCs w:val="32"/>
        </w:rPr>
        <w:t>第十二条</w:t>
      </w:r>
      <w:r>
        <w:rPr>
          <w:rFonts w:eastAsia="仿宋_GB2312"/>
          <w:bCs/>
          <w:color w:val="000000"/>
          <w:sz w:val="32"/>
          <w:szCs w:val="32"/>
        </w:rPr>
        <w:t>　市质量技术监督、公安、安全生产监督管理、工商行政管理部门应当根据烟花爆竹安全质量国家标准，确定可以在本市销售、燃放的烟花爆竹的规格和品种，并予以公布。</w:t>
      </w:r>
    </w:p>
    <w:p>
      <w:pPr>
        <w:pStyle w:val="Normal"/>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不符合本市公布的规格和品种的烟花爆竹，禁止销售、储存、携带、燃放。</w:t>
      </w:r>
    </w:p>
    <w:p>
      <w:pPr>
        <w:pStyle w:val="Normal"/>
        <w:shd w:fill="FFFFFF" w:val="clear"/>
        <w:overflowPunct w:val="false"/>
        <w:spacing w:lineRule="exact" w:line="580"/>
        <w:ind w:firstLineChars="200" w:startChars="0" w:start="0" w:endChars="0" w:end="0"/>
        <w:rPr/>
      </w:pPr>
      <w:r>
        <w:rPr>
          <w:rFonts w:cs="黑体;SimHei" w:eastAsia="黑体;SimHei"/>
          <w:bCs/>
          <w:color w:val="000000"/>
          <w:sz w:val="32"/>
          <w:szCs w:val="32"/>
        </w:rPr>
        <w:t>第十三条</w:t>
      </w:r>
      <w:r>
        <w:rPr>
          <w:rFonts w:eastAsia="仿宋_GB2312"/>
          <w:bCs/>
          <w:color w:val="000000"/>
          <w:sz w:val="32"/>
          <w:szCs w:val="32"/>
        </w:rPr>
        <w:t>　禁止在下列地点及其周边销售、燃放烟花爆竹：</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（一）文物保护单位；</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（二）车站、机场等交通枢纽；</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（三）油气罐、站等易燃、易爆危险物品储存场所和其他重点消防单位；</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（四）输、变电设施；</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（五）医疗机构、幼儿园、中小学校、敬老院；</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（六）山林、苗圃等重点防火区；</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（七）重要军事设施；</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（八）市、区人民政府根据维护正常工作、生活秩序的要求，确定和公布的其他禁止燃放烟花爆竹的地点。</w:t>
      </w:r>
    </w:p>
    <w:p>
      <w:pPr>
        <w:pStyle w:val="Normal"/>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前款规定禁止燃放烟花爆竹的地点及其周边具体范围，由有关单位设置明显的禁止燃放烟花爆竹警示标志，并负责看护。</w:t>
      </w:r>
    </w:p>
    <w:p>
      <w:pPr>
        <w:pStyle w:val="Normal"/>
        <w:shd w:fill="FFFFFF" w:val="clear"/>
        <w:overflowPunct w:val="false"/>
        <w:spacing w:lineRule="exact" w:line="580"/>
        <w:ind w:firstLineChars="200" w:startChars="0" w:start="0" w:endChars="0" w:end="0"/>
        <w:rPr/>
      </w:pPr>
      <w:r>
        <w:rPr>
          <w:rFonts w:cs="黑体;SimHei" w:eastAsia="黑体;SimHei"/>
          <w:bCs/>
          <w:color w:val="000000"/>
          <w:sz w:val="32"/>
          <w:szCs w:val="32"/>
        </w:rPr>
        <w:t>第十四条</w:t>
      </w:r>
      <w:r>
        <w:rPr>
          <w:rFonts w:eastAsia="仿宋_GB2312"/>
          <w:bCs/>
          <w:color w:val="000000"/>
          <w:sz w:val="32"/>
          <w:szCs w:val="32"/>
        </w:rPr>
        <w:t>　本市五环路以内（含五环路）区域为禁止燃放烟花爆竹的区域。</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五环路以外区域，区人民政府应当根据维护公共安全和公共利益的需要，划定禁止或者限制燃放烟花爆竹的区域。禁止、限制燃放的地点和区域以外的其他区域，可以燃放烟花爆竹。</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限制燃放烟花爆竹的区域，农历除夕至正月初一，正月初二至十五每日的七时至二十四时，可以燃放烟花爆竹，其他时间不得燃放烟花爆竹。</w:t>
      </w:r>
    </w:p>
    <w:p>
      <w:pPr>
        <w:pStyle w:val="Normal"/>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国家、本市在庆典活动和其他节日期间，需要在禁止或者限制燃放烟花爆竹区域内燃放烟花爆竹的，由市人民政府决定并予以公告。</w:t>
      </w:r>
    </w:p>
    <w:p>
      <w:pPr>
        <w:pStyle w:val="Normal"/>
        <w:overflowPunct w:val="false"/>
        <w:spacing w:lineRule="exact" w:line="580"/>
        <w:ind w:firstLineChars="200" w:startChars="0" w:start="0" w:endChars="0" w:end="0"/>
        <w:rPr/>
      </w:pPr>
      <w:r>
        <w:rPr>
          <w:rFonts w:cs="黑体;SimHei" w:eastAsia="黑体;SimHei"/>
          <w:bCs/>
          <w:color w:val="000000"/>
          <w:sz w:val="32"/>
          <w:szCs w:val="32"/>
        </w:rPr>
        <w:t>第十五条</w:t>
      </w:r>
      <w:r>
        <w:rPr>
          <w:rFonts w:eastAsia="仿宋_GB2312"/>
          <w:bCs/>
          <w:color w:val="000000"/>
          <w:sz w:val="32"/>
          <w:szCs w:val="32"/>
        </w:rPr>
        <w:t>　空气重污染橙色和红色预警期间本市行政区域内禁止销售、燃放烟花爆竹。</w:t>
      </w:r>
    </w:p>
    <w:p>
      <w:pPr>
        <w:pStyle w:val="Normal"/>
        <w:overflowPunct w:val="false"/>
        <w:spacing w:lineRule="exact" w:line="580"/>
        <w:ind w:firstLineChars="200" w:startChars="0" w:start="0" w:endChars="0" w:end="0"/>
        <w:rPr/>
      </w:pPr>
      <w:r>
        <w:rPr>
          <w:rFonts w:cs="黑体;SimHei" w:eastAsia="黑体;SimHei"/>
          <w:bCs/>
          <w:color w:val="000000"/>
          <w:sz w:val="32"/>
          <w:szCs w:val="32"/>
        </w:rPr>
        <w:t>第十六条</w:t>
      </w:r>
      <w:r>
        <w:rPr>
          <w:rFonts w:eastAsia="仿宋_GB2312"/>
          <w:bCs/>
          <w:color w:val="000000"/>
          <w:sz w:val="32"/>
          <w:szCs w:val="32"/>
        </w:rPr>
        <w:t>　市、区人民政府有关部门应当按照统筹规划、合理布局的原则，设置烟花爆竹销售单位和限制燃放烟花爆竹区域内的临时销售网点，不在禁止燃放烟花爆竹的地点和区域设置销售网点。</w:t>
      </w:r>
    </w:p>
    <w:p>
      <w:pPr>
        <w:pStyle w:val="Normal"/>
        <w:shd w:fill="FFFFFF" w:val="clear"/>
        <w:overflowPunct w:val="false"/>
        <w:spacing w:lineRule="exact" w:line="580"/>
        <w:ind w:firstLineChars="200" w:startChars="0" w:start="0" w:endChars="0" w:end="0"/>
        <w:rPr/>
      </w:pPr>
      <w:r>
        <w:rPr>
          <w:rFonts w:cs="黑体;SimHei" w:eastAsia="黑体;SimHei"/>
          <w:bCs/>
          <w:color w:val="000000"/>
          <w:sz w:val="32"/>
          <w:szCs w:val="32"/>
        </w:rPr>
        <w:t>第十七条</w:t>
      </w:r>
      <w:r>
        <w:rPr>
          <w:rFonts w:eastAsia="仿宋_GB2312"/>
          <w:bCs/>
          <w:color w:val="000000"/>
          <w:sz w:val="32"/>
          <w:szCs w:val="32"/>
        </w:rPr>
        <w:t>　本市对销售烟花爆竹实行专营。专营的具体办法由市人民政府制定。</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烟花爆竹销售单位应当采购符合规定的生产企业的烟花爆竹。烟花爆竹销售单位和临时销售网点采购、销售的烟花爆竹，应当符合国家的安全质量标准和本市规定的规格、品种，并符合《中华人民共和国产品质量法》关于包装标识的规定；不符合规定的，不得采购、销售。</w:t>
      </w:r>
    </w:p>
    <w:p>
      <w:pPr>
        <w:pStyle w:val="Normal"/>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烟花爆竹销售单位和临时销售网点应当遵守安全管理规定，在销售场所明显位置悬挂销售许可证，并按照销售许可证规定的许可范围、时间和地点销售烟花爆竹。</w:t>
      </w:r>
    </w:p>
    <w:p>
      <w:pPr>
        <w:pStyle w:val="Normal"/>
        <w:overflowPunct w:val="false"/>
        <w:spacing w:lineRule="exact" w:line="580"/>
        <w:ind w:firstLineChars="200" w:startChars="0" w:start="0" w:endChars="0" w:end="0"/>
        <w:rPr/>
      </w:pPr>
      <w:r>
        <w:rPr>
          <w:rFonts w:cs="黑体;SimHei" w:eastAsia="黑体;SimHei"/>
          <w:bCs/>
          <w:color w:val="000000"/>
          <w:sz w:val="32"/>
          <w:szCs w:val="32"/>
        </w:rPr>
        <w:t>第十八条</w:t>
      </w:r>
      <w:r>
        <w:rPr>
          <w:rFonts w:eastAsia="仿宋_GB2312"/>
          <w:bCs/>
          <w:color w:val="000000"/>
          <w:sz w:val="32"/>
          <w:szCs w:val="32"/>
        </w:rPr>
        <w:t>　临时销售网点在许可的期限届满后，其经营者应当停止销售，并将未销售的烟花爆竹及时处理，不得继续存放。</w:t>
      </w:r>
    </w:p>
    <w:p>
      <w:pPr>
        <w:pStyle w:val="Normal"/>
        <w:shd w:fill="FFFFFF" w:val="clear"/>
        <w:overflowPunct w:val="false"/>
        <w:spacing w:lineRule="exact" w:line="580"/>
        <w:ind w:firstLineChars="200" w:startChars="0" w:start="0" w:endChars="0" w:end="0"/>
        <w:rPr/>
      </w:pPr>
      <w:r>
        <w:rPr>
          <w:rFonts w:cs="黑体;SimHei" w:eastAsia="黑体;SimHei"/>
          <w:bCs/>
          <w:color w:val="000000"/>
          <w:sz w:val="32"/>
          <w:szCs w:val="32"/>
        </w:rPr>
        <w:t>第十九条</w:t>
      </w:r>
      <w:r>
        <w:rPr>
          <w:rFonts w:eastAsia="仿宋_GB2312"/>
          <w:bCs/>
          <w:color w:val="000000"/>
          <w:sz w:val="32"/>
          <w:szCs w:val="32"/>
        </w:rPr>
        <w:t>　单位和个人燃放烟花爆竹的，应当从具有许可证的销售网点购买，燃放时应当按照燃放说明正确、安全地燃放，并应当遵守下列规定：</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（一）不得向人群、车辆、建筑物抛掷点燃的烟花爆竹；</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（二）不得在建筑物内、屋顶、阳台燃放或者向外抛掷烟花爆竹；</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（三）不得妨碍行人、车辆安全通行；</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（四）不得采用其他危害国家、集体和他人人身、财产安全的方式燃放烟花爆竹；</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（五）不得存放超过一箱或者重量超过</w:t>
      </w:r>
      <w:r>
        <w:rPr>
          <w:rFonts w:eastAsia="仿宋_GB2312"/>
          <w:bCs/>
          <w:color w:val="000000"/>
          <w:sz w:val="32"/>
          <w:szCs w:val="32"/>
        </w:rPr>
        <w:t>30</w:t>
      </w:r>
      <w:r>
        <w:rPr>
          <w:rFonts w:eastAsia="仿宋_GB2312"/>
          <w:bCs/>
          <w:color w:val="000000"/>
          <w:sz w:val="32"/>
          <w:szCs w:val="32"/>
        </w:rPr>
        <w:t>公斤的烟花爆竹。</w:t>
      </w:r>
    </w:p>
    <w:p>
      <w:pPr>
        <w:pStyle w:val="Normal"/>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十四周岁以下未成年人燃放烟花爆竹的，应当由监护人或者其他成年人陪同看护。</w:t>
      </w:r>
    </w:p>
    <w:p>
      <w:pPr>
        <w:pStyle w:val="Normal"/>
        <w:overflowPunct w:val="false"/>
        <w:spacing w:lineRule="exact" w:line="580"/>
        <w:ind w:firstLineChars="200" w:startChars="0" w:start="0" w:endChars="0" w:end="0"/>
        <w:rPr/>
      </w:pPr>
      <w:r>
        <w:rPr>
          <w:rFonts w:cs="黑体;SimHei" w:eastAsia="黑体;SimHei"/>
          <w:bCs/>
          <w:color w:val="000000"/>
          <w:sz w:val="32"/>
          <w:szCs w:val="32"/>
        </w:rPr>
        <w:t>第二十条</w:t>
      </w:r>
      <w:r>
        <w:rPr>
          <w:rFonts w:eastAsia="仿宋_GB2312"/>
          <w:bCs/>
          <w:color w:val="000000"/>
          <w:sz w:val="32"/>
          <w:szCs w:val="32"/>
        </w:rPr>
        <w:t>　违反本规定，未经许可违法生产、销售、储存、运输烟花爆竹的，由安全生产监督管理、工商行政管理、公安、交通行政管理部门按照有关法律、法规的规定处罚。</w:t>
      </w:r>
    </w:p>
    <w:p>
      <w:pPr>
        <w:pStyle w:val="Normal"/>
        <w:overflowPunct w:val="false"/>
        <w:spacing w:lineRule="exact" w:line="580"/>
        <w:ind w:firstLineChars="200" w:startChars="0" w:start="0" w:endChars="0" w:end="0"/>
        <w:rPr/>
      </w:pPr>
      <w:r>
        <w:rPr>
          <w:rFonts w:cs="黑体;SimHei" w:eastAsia="黑体;SimHei"/>
          <w:bCs/>
          <w:color w:val="000000"/>
          <w:sz w:val="32"/>
          <w:szCs w:val="32"/>
        </w:rPr>
        <w:t>第二十一条</w:t>
      </w:r>
      <w:r>
        <w:rPr>
          <w:rFonts w:eastAsia="仿宋_GB2312"/>
          <w:bCs/>
          <w:color w:val="000000"/>
          <w:sz w:val="32"/>
          <w:szCs w:val="32"/>
        </w:rPr>
        <w:t>　违反本规定，有下列情形之一的，由公安部门责令改正，收缴其烟花爆竹，对单位处</w:t>
      </w:r>
      <w:r>
        <w:rPr>
          <w:rFonts w:eastAsia="仿宋_GB2312"/>
          <w:bCs/>
          <w:color w:val="000000"/>
          <w:sz w:val="32"/>
          <w:szCs w:val="32"/>
        </w:rPr>
        <w:t>1000</w:t>
      </w:r>
      <w:r>
        <w:rPr>
          <w:rFonts w:eastAsia="仿宋_GB2312"/>
          <w:bCs/>
          <w:color w:val="000000"/>
          <w:sz w:val="32"/>
          <w:szCs w:val="32"/>
        </w:rPr>
        <w:t>元以上</w:t>
      </w:r>
      <w:r>
        <w:rPr>
          <w:rFonts w:eastAsia="仿宋_GB2312"/>
          <w:bCs/>
          <w:color w:val="000000"/>
          <w:sz w:val="32"/>
          <w:szCs w:val="32"/>
        </w:rPr>
        <w:t>5000</w:t>
      </w:r>
      <w:r>
        <w:rPr>
          <w:rFonts w:eastAsia="仿宋_GB2312"/>
          <w:bCs/>
          <w:color w:val="000000"/>
          <w:sz w:val="32"/>
          <w:szCs w:val="32"/>
        </w:rPr>
        <w:t>元以下罚款，对个人处</w:t>
      </w:r>
      <w:r>
        <w:rPr>
          <w:rFonts w:eastAsia="仿宋_GB2312"/>
          <w:bCs/>
          <w:color w:val="000000"/>
          <w:sz w:val="32"/>
          <w:szCs w:val="32"/>
        </w:rPr>
        <w:t>100</w:t>
      </w:r>
      <w:r>
        <w:rPr>
          <w:rFonts w:eastAsia="仿宋_GB2312"/>
          <w:bCs/>
          <w:color w:val="000000"/>
          <w:sz w:val="32"/>
          <w:szCs w:val="32"/>
        </w:rPr>
        <w:t>元以上</w:t>
      </w:r>
      <w:r>
        <w:rPr>
          <w:rFonts w:eastAsia="仿宋_GB2312"/>
          <w:bCs/>
          <w:color w:val="000000"/>
          <w:sz w:val="32"/>
          <w:szCs w:val="32"/>
        </w:rPr>
        <w:t>200</w:t>
      </w:r>
      <w:r>
        <w:rPr>
          <w:rFonts w:eastAsia="仿宋_GB2312"/>
          <w:bCs/>
          <w:color w:val="000000"/>
          <w:sz w:val="32"/>
          <w:szCs w:val="32"/>
        </w:rPr>
        <w:t>元以下罚款；情节严重的，对单位处</w:t>
      </w:r>
      <w:r>
        <w:rPr>
          <w:rFonts w:eastAsia="仿宋_GB2312"/>
          <w:bCs/>
          <w:color w:val="000000"/>
          <w:sz w:val="32"/>
          <w:szCs w:val="32"/>
        </w:rPr>
        <w:t>5000</w:t>
      </w:r>
      <w:r>
        <w:rPr>
          <w:rFonts w:eastAsia="仿宋_GB2312"/>
          <w:bCs/>
          <w:color w:val="000000"/>
          <w:sz w:val="32"/>
          <w:szCs w:val="32"/>
        </w:rPr>
        <w:t>元以上</w:t>
      </w:r>
      <w:r>
        <w:rPr>
          <w:rFonts w:eastAsia="仿宋_GB2312"/>
          <w:bCs/>
          <w:color w:val="000000"/>
          <w:sz w:val="32"/>
          <w:szCs w:val="32"/>
        </w:rPr>
        <w:t>3</w:t>
      </w:r>
      <w:r>
        <w:rPr>
          <w:rFonts w:eastAsia="仿宋_GB2312"/>
          <w:bCs/>
          <w:color w:val="000000"/>
          <w:sz w:val="32"/>
          <w:szCs w:val="32"/>
        </w:rPr>
        <w:t>万元以下罚款，对个人处</w:t>
      </w:r>
      <w:r>
        <w:rPr>
          <w:rFonts w:eastAsia="仿宋_GB2312"/>
          <w:bCs/>
          <w:color w:val="000000"/>
          <w:sz w:val="32"/>
          <w:szCs w:val="32"/>
        </w:rPr>
        <w:t>200</w:t>
      </w:r>
      <w:r>
        <w:rPr>
          <w:rFonts w:eastAsia="仿宋_GB2312"/>
          <w:bCs/>
          <w:color w:val="000000"/>
          <w:sz w:val="32"/>
          <w:szCs w:val="32"/>
        </w:rPr>
        <w:t>元以上</w:t>
      </w:r>
      <w:r>
        <w:rPr>
          <w:rFonts w:eastAsia="仿宋_GB2312"/>
          <w:bCs/>
          <w:color w:val="000000"/>
          <w:sz w:val="32"/>
          <w:szCs w:val="32"/>
        </w:rPr>
        <w:t>500</w:t>
      </w:r>
      <w:r>
        <w:rPr>
          <w:rFonts w:eastAsia="仿宋_GB2312"/>
          <w:bCs/>
          <w:color w:val="000000"/>
          <w:sz w:val="32"/>
          <w:szCs w:val="32"/>
        </w:rPr>
        <w:t>元以下罚款：</w:t>
      </w:r>
    </w:p>
    <w:p>
      <w:pPr>
        <w:pStyle w:val="Normal"/>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（一）违反第十二条第二款规定，携带、燃放的烟花爆竹不符合本市公布的规格和品种的；</w:t>
      </w:r>
    </w:p>
    <w:p>
      <w:pPr>
        <w:pStyle w:val="Normal"/>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（二）违反第十三条第一款规定，在禁止燃放烟花爆竹的地点燃放的；</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（三）违反第十四条第一款、第二款规定，在禁止燃放烟花爆竹的区域燃放的；</w:t>
      </w:r>
    </w:p>
    <w:p>
      <w:pPr>
        <w:pStyle w:val="Normal"/>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（四）违反第十四条第三款规定，在限制燃放烟花爆竹的区域内不按照规定燃放时间燃放的；</w:t>
      </w:r>
    </w:p>
    <w:p>
      <w:pPr>
        <w:pStyle w:val="Normal"/>
        <w:shd w:fill="FFFFFF" w:val="clear"/>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（五）违反第十五条规定，在空气重污染橙色或者红色预警期间燃放的；</w:t>
      </w:r>
    </w:p>
    <w:p>
      <w:pPr>
        <w:pStyle w:val="Normal"/>
        <w:overflowPunct w:val="false"/>
        <w:spacing w:lineRule="exact" w:line="580"/>
        <w:ind w:firstLineChars="200" w:startChars="0" w:start="0" w:endChars="0" w:end="0"/>
        <w:rPr>
          <w:rFonts w:eastAsia="仿宋_GB2312"/>
          <w:bCs/>
          <w:color w:val="000000"/>
          <w:sz w:val="32"/>
          <w:szCs w:val="32"/>
        </w:rPr>
      </w:pPr>
      <w:r>
        <w:rPr>
          <w:rFonts w:eastAsia="仿宋_GB2312"/>
          <w:bCs/>
          <w:color w:val="000000"/>
          <w:sz w:val="32"/>
          <w:szCs w:val="32"/>
        </w:rPr>
        <w:t>（六）违反第十九条第一款规定，燃放、存放烟花爆竹的。</w:t>
      </w:r>
    </w:p>
    <w:p>
      <w:pPr>
        <w:pStyle w:val="Normal"/>
        <w:overflowPunct w:val="false"/>
        <w:spacing w:lineRule="exact" w:line="580"/>
        <w:ind w:firstLineChars="200" w:startChars="0" w:start="0" w:endChars="0" w:end="0"/>
        <w:rPr/>
      </w:pPr>
      <w:r>
        <w:rPr>
          <w:rFonts w:cs="黑体;SimHei" w:eastAsia="黑体;SimHei"/>
          <w:bCs/>
          <w:color w:val="000000"/>
          <w:sz w:val="32"/>
          <w:szCs w:val="32"/>
        </w:rPr>
        <w:t>第二十二条</w:t>
      </w:r>
      <w:r>
        <w:rPr>
          <w:rFonts w:eastAsia="仿宋_GB2312"/>
          <w:bCs/>
          <w:color w:val="000000"/>
          <w:sz w:val="32"/>
          <w:szCs w:val="32"/>
        </w:rPr>
        <w:t>　违反第十七条第二款规定，烟花爆竹销售单位和临时销售网点采购、销售的烟花爆竹不符合本市规定的品种和规格的，由工商行政管理部门没收违法收入，收缴烟花爆竹，并可以处</w:t>
      </w:r>
      <w:r>
        <w:rPr>
          <w:rFonts w:eastAsia="仿宋_GB2312"/>
          <w:bCs/>
          <w:color w:val="000000"/>
          <w:sz w:val="32"/>
          <w:szCs w:val="32"/>
        </w:rPr>
        <w:t>1</w:t>
      </w:r>
      <w:r>
        <w:rPr>
          <w:rFonts w:eastAsia="仿宋_GB2312"/>
          <w:bCs/>
          <w:color w:val="000000"/>
          <w:sz w:val="32"/>
          <w:szCs w:val="32"/>
        </w:rPr>
        <w:t>万元以上</w:t>
      </w:r>
      <w:r>
        <w:rPr>
          <w:rFonts w:eastAsia="仿宋_GB2312"/>
          <w:bCs/>
          <w:color w:val="000000"/>
          <w:sz w:val="32"/>
          <w:szCs w:val="32"/>
        </w:rPr>
        <w:t>10</w:t>
      </w:r>
      <w:r>
        <w:rPr>
          <w:rFonts w:eastAsia="仿宋_GB2312"/>
          <w:bCs/>
          <w:color w:val="000000"/>
          <w:sz w:val="32"/>
          <w:szCs w:val="32"/>
        </w:rPr>
        <w:t>万元以下罚款；由有关行政主管部门吊销销售许可证。</w:t>
      </w:r>
    </w:p>
    <w:p>
      <w:pPr>
        <w:pStyle w:val="Normal"/>
        <w:overflowPunct w:val="false"/>
        <w:spacing w:lineRule="exact" w:line="580"/>
        <w:ind w:firstLineChars="200" w:startChars="0" w:start="0" w:endChars="0" w:end="0"/>
        <w:rPr/>
      </w:pPr>
      <w:r>
        <w:rPr>
          <w:rFonts w:cs="黑体;SimHei" w:eastAsia="黑体;SimHei"/>
          <w:bCs/>
          <w:color w:val="000000"/>
          <w:sz w:val="32"/>
          <w:szCs w:val="32"/>
        </w:rPr>
        <w:t>第二十三条</w:t>
      </w:r>
      <w:r>
        <w:rPr>
          <w:rFonts w:eastAsia="仿宋_GB2312"/>
          <w:bCs/>
          <w:color w:val="000000"/>
          <w:sz w:val="32"/>
          <w:szCs w:val="32"/>
        </w:rPr>
        <w:t>　燃放烟花爆竹给国家、集体财产造成损失或者造成他人人身伤害、财产损失的，由行为人依法承担赔偿责任；属于违反治安管理的行为的，由公安机关依法处理；构成犯罪的，依法追究刑事责任。</w:t>
      </w:r>
    </w:p>
    <w:p>
      <w:pPr>
        <w:pStyle w:val="Normal"/>
        <w:overflowPunct w:val="false"/>
        <w:spacing w:lineRule="exact" w:line="580"/>
        <w:ind w:firstLineChars="200" w:startChars="0" w:start="0" w:endChars="0" w:end="0"/>
        <w:rPr/>
      </w:pPr>
      <w:r>
        <w:rPr>
          <w:rFonts w:cs="黑体;SimHei" w:eastAsia="黑体;SimHei"/>
          <w:bCs/>
          <w:color w:val="000000"/>
          <w:sz w:val="32"/>
          <w:szCs w:val="32"/>
        </w:rPr>
        <w:t>第二十四条</w:t>
      </w:r>
      <w:r>
        <w:rPr>
          <w:rFonts w:eastAsia="仿宋_GB2312"/>
          <w:bCs/>
          <w:color w:val="000000"/>
          <w:sz w:val="32"/>
          <w:szCs w:val="32"/>
        </w:rPr>
        <w:t>　对违反本规定的行为，有关法律、法规已经规定法律责任的，按照其规定处理。</w:t>
      </w:r>
    </w:p>
    <w:p>
      <w:pPr>
        <w:pStyle w:val="Normal"/>
        <w:overflowPunct w:val="false"/>
        <w:spacing w:lineRule="exact" w:line="580"/>
        <w:ind w:firstLineChars="200" w:startChars="0" w:start="0" w:endChars="0" w:end="0"/>
        <w:rPr/>
      </w:pPr>
      <w:r>
        <w:rPr>
          <w:rFonts w:cs="黑体;SimHei" w:eastAsia="黑体;SimHei"/>
          <w:bCs/>
          <w:color w:val="000000"/>
          <w:sz w:val="32"/>
          <w:szCs w:val="32"/>
        </w:rPr>
        <w:t>第二十五条</w:t>
      </w:r>
      <w:r>
        <w:rPr>
          <w:rFonts w:eastAsia="仿宋_GB2312"/>
          <w:bCs/>
          <w:color w:val="000000"/>
          <w:sz w:val="32"/>
          <w:szCs w:val="32"/>
        </w:rPr>
        <w:t>　本规定自</w:t>
      </w:r>
      <w:r>
        <w:rPr>
          <w:rFonts w:eastAsia="仿宋_GB2312"/>
          <w:bCs/>
          <w:color w:val="000000"/>
          <w:sz w:val="32"/>
          <w:szCs w:val="32"/>
        </w:rPr>
        <w:t>2005</w:t>
      </w:r>
      <w:r>
        <w:rPr>
          <w:rFonts w:eastAsia="仿宋_GB2312"/>
          <w:bCs/>
          <w:color w:val="000000"/>
          <w:sz w:val="32"/>
          <w:szCs w:val="32"/>
        </w:rPr>
        <w:t>年</w:t>
      </w:r>
      <w:r>
        <w:rPr>
          <w:rFonts w:eastAsia="仿宋_GB2312"/>
          <w:bCs/>
          <w:color w:val="000000"/>
          <w:sz w:val="32"/>
          <w:szCs w:val="32"/>
        </w:rPr>
        <w:t>12</w:t>
      </w:r>
      <w:r>
        <w:rPr>
          <w:rFonts w:eastAsia="仿宋_GB2312"/>
          <w:bCs/>
          <w:color w:val="000000"/>
          <w:sz w:val="32"/>
          <w:szCs w:val="32"/>
        </w:rPr>
        <w:t>月</w:t>
      </w:r>
      <w:r>
        <w:rPr>
          <w:rFonts w:eastAsia="仿宋_GB2312"/>
          <w:bCs/>
          <w:color w:val="000000"/>
          <w:sz w:val="32"/>
          <w:szCs w:val="32"/>
        </w:rPr>
        <w:t>1</w:t>
      </w:r>
      <w:r>
        <w:rPr>
          <w:rFonts w:eastAsia="仿宋_GB2312"/>
          <w:bCs/>
          <w:color w:val="000000"/>
          <w:sz w:val="32"/>
          <w:szCs w:val="32"/>
        </w:rPr>
        <w:t>日起施行。</w:t>
      </w:r>
      <w:r>
        <w:rPr>
          <w:rFonts w:eastAsia="仿宋_GB2312"/>
          <w:bCs/>
          <w:color w:val="000000"/>
          <w:sz w:val="32"/>
          <w:szCs w:val="32"/>
        </w:rPr>
        <w:t>1993</w:t>
      </w:r>
      <w:r>
        <w:rPr>
          <w:rFonts w:eastAsia="仿宋_GB2312"/>
          <w:bCs/>
          <w:color w:val="000000"/>
          <w:sz w:val="32"/>
          <w:szCs w:val="32"/>
        </w:rPr>
        <w:t>年</w:t>
      </w:r>
      <w:r>
        <w:rPr>
          <w:rFonts w:eastAsia="仿宋_GB2312"/>
          <w:bCs/>
          <w:color w:val="000000"/>
          <w:sz w:val="32"/>
          <w:szCs w:val="32"/>
        </w:rPr>
        <w:t>10</w:t>
      </w:r>
      <w:r>
        <w:rPr>
          <w:rFonts w:eastAsia="仿宋_GB2312"/>
          <w:bCs/>
          <w:color w:val="000000"/>
          <w:sz w:val="32"/>
          <w:szCs w:val="32"/>
        </w:rPr>
        <w:t>月</w:t>
      </w:r>
      <w:r>
        <w:rPr>
          <w:rFonts w:eastAsia="仿宋_GB2312"/>
          <w:bCs/>
          <w:color w:val="000000"/>
          <w:sz w:val="32"/>
          <w:szCs w:val="32"/>
        </w:rPr>
        <w:t>12</w:t>
      </w:r>
      <w:r>
        <w:rPr>
          <w:rFonts w:eastAsia="仿宋_GB2312"/>
          <w:bCs/>
          <w:color w:val="000000"/>
          <w:sz w:val="32"/>
          <w:szCs w:val="32"/>
        </w:rPr>
        <w:t>日北京市第十届人民代表大会常务委员会第六次会议通过的《北京市关于禁止燃放烟花爆竹的规定》同时废止。</w:t>
      </w:r>
    </w:p>
    <w:p>
      <w:pPr>
        <w:pStyle w:val="Normal"/>
        <w:spacing w:lineRule="exact" w:line="580"/>
        <w:rPr>
          <w:rFonts w:eastAsia="方正小标宋简体" w:hint="eastAsia"/>
          <w:bCs/>
          <w:color w:val="000000"/>
          <w:sz w:val="44"/>
          <w:szCs w:val="44"/>
        </w:rPr>
      </w:pPr>
      <w:r>
        <w:rPr>
          <w:rFonts w:eastAsia="方正小标宋简体" w:hint="eastAsia"/>
          <w:bCs/>
          <w:color w:val="000000"/>
          <w:sz w:val="44"/>
          <w:szCs w:val="44"/>
        </w:rPr>
      </w:r>
    </w:p>
    <w:sectPr>
      <w:footerReference w:type="even" r:id="rId2"/>
      <w:footerReference w:type="default" r:id="rId3"/>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方正小标宋简体">
    <w:charset w:val="86"/>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Fonts w:cs="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cs="宋体;SimSun"/>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tLeast" w:line="240"/>
      <w:ind w:firstLineChars="0" w:firstLine="0" w:startChars="0" w:start="0" w:endChars="0" w:end="0"/>
      <w:jc w:val="center"/>
      <w:outlineLvl w:val="0"/>
    </w:pPr>
    <w:rPr>
      <w:rFonts w:eastAsia="黑体;SimHei"/>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SimHei" w:cs="Arial"/>
      <w:b/>
      <w:bCs/>
      <w:sz w:val="32"/>
      <w:szCs w:val="32"/>
    </w:rPr>
  </w:style>
  <w:style w:type="character" w:styleId="Style12">
    <w:name w:val="默认段落字体"/>
    <w:qFormat/>
    <w:rPr/>
  </w:style>
  <w:style w:type="character" w:styleId="artcontent">
    <w:name w:val="artcontent"/>
    <w:basedOn w:val="Style12"/>
    <w:qFormat/>
    <w:rPr>
      <w:rFonts w:ascii="宋体;SimSun" w:hAnsi="宋体;SimSun" w:cs="Courier New"/>
      <w:sz w:val="32"/>
      <w:szCs w:val="32"/>
    </w:rPr>
  </w:style>
  <w:style w:type="character" w:styleId="Char">
    <w:name w:val="正文文本 Char"/>
    <w:basedOn w:val="Style12"/>
    <w:qFormat/>
    <w:rPr>
      <w:rFonts w:ascii="方正小标宋简体" w:hAnsi="方正小标宋简体" w:eastAsia="方正小标宋简体"/>
      <w:bCs/>
      <w:sz w:val="44"/>
      <w:szCs w:val="44"/>
    </w:rPr>
  </w:style>
  <w:style w:type="character" w:styleId="Char1">
    <w:name w:val="页脚 Char"/>
    <w:basedOn w:val="Style12"/>
    <w:qFormat/>
    <w:rPr>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autoSpaceDE w:val="false"/>
      <w:spacing w:lineRule="exact" w:line="580"/>
      <w:jc w:val="center"/>
    </w:pPr>
    <w:rPr>
      <w:rFonts w:ascii="方正小标宋简体" w:hAnsi="方正小标宋简体" w:eastAsia="方正小标宋简体"/>
      <w:bCs/>
      <w:kern w:val="0"/>
      <w:sz w:val="44"/>
      <w:szCs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4">
    <w:name w:val="批注框文本"/>
    <w:basedOn w:val="Normal"/>
    <w:qForma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2">
    <w:name w:val="Char"/>
    <w:basedOn w:val="Normal"/>
    <w:next w:val="Heading2"/>
    <w:qFormat/>
    <w:pPr>
      <w:spacing w:lineRule="atLeast" w:line="300"/>
      <w:jc w:val="center"/>
    </w:pPr>
    <w:rPr>
      <w:rFonts w:eastAsia="方正小标宋简体"/>
      <w:bCs/>
      <w:sz w:val="44"/>
      <w:szCs w:val="44"/>
    </w:rPr>
  </w:style>
  <w:style w:type="paragraph" w:styleId="CharCharCharCharCharCharCharCharCharCharChar1">
    <w:name w:val="Char Char Char Char Char Char Char Char Char Char Char1"/>
    <w:basedOn w:val="Normal"/>
    <w:qFormat/>
    <w:pPr/>
    <w:rPr>
      <w:rFonts w:ascii="宋体;SimSun" w:hAnsi="宋体;SimSun" w:cs="宋体;SimSun"/>
      <w:sz w:val="32"/>
      <w:szCs w:val="3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2017-11-27T14:40:00Z</dcterms:created>
  <dc:creator>Administrator</dc:creator>
  <dc:description/>
  <cp:keywords/>
  <dc:language>en-US</dc:language>
  <cp:lastModifiedBy>USER-</cp:lastModifiedBy>
  <cp:lastPrinted>2017-12-26T16:23:00Z</cp:lastPrinted>
  <dcterms:modified xsi:type="dcterms:W3CDTF">2018-01-04T09:37:00Z</dcterms:modified>
  <cp:revision>30</cp:revision>
  <dc:subject/>
  <dc:title>北京市人民代表大会常务委员会公告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