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false"/>
        <w:spacing w:lineRule="exact" w:line="550"/>
        <w:jc w:val="center"/>
        <w:rPr>
          <w:rFonts w:ascii="方正小标宋简体;黑体" w:hAnsi="方正小标宋简体;黑体" w:eastAsia="方正小标宋简体;黑体"/>
          <w:sz w:val="44"/>
          <w:szCs w:val="44"/>
        </w:rPr>
      </w:pPr>
      <w:r>
        <w:rPr>
          <w:rFonts w:ascii="方正小标宋简体;黑体" w:hAnsi="方正小标宋简体;黑体" w:hint="eastAsia" w:eastAsia="方正小标宋简体;黑体"/>
          <w:sz w:val="44"/>
          <w:szCs w:val="44"/>
        </w:rPr>
        <w:t>北京市实施《中华人民共和国野生</w:t>
      </w:r>
    </w:p>
    <w:p>
      <w:pPr>
        <w:pStyle w:val="Normal"/>
        <w:overflowPunct w:val="false"/>
        <w:spacing w:lineRule="exact" w:line="550"/>
        <w:jc w:val="center"/>
        <w:rPr>
          <w:rFonts w:ascii="方正小标宋简体;黑体" w:hAnsi="方正小标宋简体;黑体" w:eastAsia="方正小标宋简体;黑体"/>
          <w:sz w:val="44"/>
          <w:szCs w:val="44"/>
        </w:rPr>
      </w:pPr>
      <w:r>
        <w:rPr>
          <w:rFonts w:ascii="方正小标宋简体;黑体" w:hAnsi="方正小标宋简体;黑体" w:hint="eastAsia" w:eastAsia="方正小标宋简体;黑体"/>
          <w:sz w:val="44"/>
          <w:szCs w:val="44"/>
        </w:rPr>
        <w:t>动物保护法》办法</w:t>
      </w:r>
    </w:p>
    <w:p>
      <w:pPr>
        <w:pStyle w:val="Normal"/>
        <w:overflowPunct w:val="false"/>
        <w:spacing w:lineRule="exact" w:line="550"/>
        <w:ind w:firstLineChars="200" w:startChars="200" w:endChars="200"/>
        <w:rPr>
          <w:rFonts w:eastAsia="楷体_GB2312;楷体"/>
          <w:sz w:val="32"/>
          <w:szCs w:val="32"/>
        </w:rPr>
      </w:pPr>
      <w:r>
        <w:rPr>
          <w:rFonts w:eastAsia="楷体_GB2312;楷体"/>
          <w:sz w:val="32"/>
          <w:szCs w:val="32"/>
        </w:rPr>
        <w:t>（</w:t>
      </w:r>
      <w:r>
        <w:rPr>
          <w:rFonts w:eastAsia="楷体_GB2312;楷体"/>
          <w:sz w:val="32"/>
          <w:szCs w:val="32"/>
        </w:rPr>
        <w:t>1989</w:t>
      </w:r>
      <w:r>
        <w:rPr>
          <w:rFonts w:eastAsia="楷体_GB2312;楷体"/>
          <w:sz w:val="32"/>
          <w:szCs w:val="32"/>
        </w:rPr>
        <w:t>年</w:t>
      </w:r>
      <w:r>
        <w:rPr>
          <w:rFonts w:eastAsia="楷体_GB2312;楷体"/>
          <w:sz w:val="32"/>
          <w:szCs w:val="32"/>
        </w:rPr>
        <w:t>4</w:t>
      </w:r>
      <w:r>
        <w:rPr>
          <w:rFonts w:eastAsia="楷体_GB2312;楷体"/>
          <w:sz w:val="32"/>
          <w:szCs w:val="32"/>
        </w:rPr>
        <w:t>月</w:t>
      </w:r>
      <w:r>
        <w:rPr>
          <w:rFonts w:eastAsia="楷体_GB2312;楷体"/>
          <w:sz w:val="32"/>
          <w:szCs w:val="32"/>
        </w:rPr>
        <w:t>2</w:t>
      </w:r>
      <w:r>
        <w:rPr>
          <w:rFonts w:eastAsia="楷体_GB2312;楷体"/>
          <w:sz w:val="32"/>
          <w:szCs w:val="32"/>
        </w:rPr>
        <w:t>日北京市第九届人民代表大会常务委员会第十次会议通过</w:t>
      </w:r>
      <w:r>
        <w:rPr>
          <w:rFonts w:hint="eastAsia" w:eastAsia="楷体_GB2312;楷体"/>
          <w:sz w:val="32"/>
          <w:szCs w:val="32"/>
        </w:rPr>
        <w:t>　</w:t>
      </w:r>
      <w:r>
        <w:rPr>
          <w:rFonts w:eastAsia="楷体_GB2312;楷体"/>
          <w:sz w:val="32"/>
          <w:szCs w:val="32"/>
        </w:rPr>
        <w:t>根据</w:t>
      </w:r>
      <w:r>
        <w:rPr>
          <w:rFonts w:eastAsia="楷体_GB2312;楷体"/>
          <w:sz w:val="32"/>
          <w:szCs w:val="32"/>
        </w:rPr>
        <w:t>1997</w:t>
      </w:r>
      <w:r>
        <w:rPr>
          <w:rFonts w:eastAsia="楷体_GB2312;楷体"/>
          <w:sz w:val="32"/>
          <w:szCs w:val="32"/>
        </w:rPr>
        <w:t>年</w:t>
      </w:r>
      <w:r>
        <w:rPr>
          <w:rFonts w:eastAsia="楷体_GB2312;楷体"/>
          <w:sz w:val="32"/>
          <w:szCs w:val="32"/>
        </w:rPr>
        <w:t>4</w:t>
      </w:r>
      <w:r>
        <w:rPr>
          <w:rFonts w:eastAsia="楷体_GB2312;楷体"/>
          <w:sz w:val="32"/>
          <w:szCs w:val="32"/>
        </w:rPr>
        <w:t>月</w:t>
      </w:r>
      <w:r>
        <w:rPr>
          <w:rFonts w:eastAsia="楷体_GB2312;楷体"/>
          <w:sz w:val="32"/>
          <w:szCs w:val="32"/>
        </w:rPr>
        <w:t>15</w:t>
      </w:r>
      <w:r>
        <w:rPr>
          <w:rFonts w:eastAsia="楷体_GB2312;楷体"/>
          <w:sz w:val="32"/>
          <w:szCs w:val="32"/>
        </w:rPr>
        <w:t>日北京市</w:t>
      </w:r>
      <w:r>
        <w:rPr>
          <w:rFonts w:hint="eastAsia" w:eastAsia="楷体_GB2312;楷体"/>
          <w:sz w:val="32"/>
          <w:szCs w:val="32"/>
        </w:rPr>
        <w:t>第十届</w:t>
      </w:r>
      <w:r>
        <w:rPr>
          <w:rFonts w:eastAsia="楷体_GB2312;楷体"/>
          <w:sz w:val="32"/>
          <w:szCs w:val="32"/>
        </w:rPr>
        <w:t>人民代表大会常务委员会第三十六次会议《关于修改〈北京市实施中华人民共和国野生动物保护法办法〉的决定》修正  根据</w:t>
      </w:r>
      <w:r>
        <w:rPr>
          <w:rFonts w:eastAsia="楷体_GB2312;楷体"/>
          <w:sz w:val="32"/>
          <w:szCs w:val="32"/>
        </w:rPr>
        <w:t>2018</w:t>
      </w:r>
      <w:r>
        <w:rPr>
          <w:rFonts w:eastAsia="楷体_GB2312;楷体"/>
          <w:sz w:val="32"/>
          <w:szCs w:val="32"/>
        </w:rPr>
        <w:t>年</w:t>
      </w:r>
      <w:r>
        <w:rPr>
          <w:rFonts w:eastAsia="楷体_GB2312;楷体"/>
          <w:sz w:val="32"/>
          <w:szCs w:val="32"/>
        </w:rPr>
        <w:t>3</w:t>
      </w:r>
      <w:r>
        <w:rPr>
          <w:rFonts w:eastAsia="楷体_GB2312;楷体"/>
          <w:sz w:val="32"/>
          <w:szCs w:val="32"/>
        </w:rPr>
        <w:t>月</w:t>
      </w:r>
      <w:r>
        <w:rPr>
          <w:rFonts w:eastAsia="楷体_GB2312;楷体"/>
          <w:sz w:val="32"/>
          <w:szCs w:val="32"/>
        </w:rPr>
        <w:t>30</w:t>
      </w:r>
      <w:r>
        <w:rPr>
          <w:rFonts w:eastAsia="楷体_GB2312;楷体"/>
          <w:sz w:val="32"/>
          <w:szCs w:val="32"/>
        </w:rPr>
        <w:t>日北京市第十五届人民</w:t>
      </w:r>
      <w:r>
        <w:rPr>
          <w:rFonts w:eastAsia="楷体_GB2312;楷体"/>
          <w:spacing w:val="-6"/>
          <w:sz w:val="32"/>
          <w:szCs w:val="32"/>
        </w:rPr>
        <w:t>代表大会常务委员会第三次会议通过的《关于修改</w:t>
      </w:r>
      <w:r>
        <w:rPr>
          <w:rFonts w:ascii="楷体_GB2312;楷体" w:hAnsi="楷体_GB2312;楷体" w:hint="eastAsia" w:eastAsia="楷体_GB2312;楷体"/>
          <w:spacing w:val="-6"/>
          <w:sz w:val="32"/>
          <w:szCs w:val="32"/>
        </w:rPr>
        <w:t>〈</w:t>
      </w:r>
      <w:r>
        <w:rPr>
          <w:rFonts w:eastAsia="楷体_GB2312;楷体"/>
          <w:spacing w:val="-6"/>
          <w:sz w:val="32"/>
          <w:szCs w:val="32"/>
        </w:rPr>
        <w:t>北京市大气污染防治条例</w:t>
      </w:r>
      <w:r>
        <w:rPr>
          <w:rFonts w:ascii="楷体_GB2312;楷体" w:hAnsi="楷体_GB2312;楷体" w:hint="eastAsia" w:eastAsia="楷体_GB2312;楷体"/>
          <w:spacing w:val="-6"/>
          <w:sz w:val="32"/>
          <w:szCs w:val="32"/>
        </w:rPr>
        <w:t>〉</w:t>
      </w:r>
      <w:r>
        <w:rPr>
          <w:rFonts w:eastAsia="楷体_GB2312;楷体"/>
          <w:spacing w:val="-6"/>
          <w:sz w:val="32"/>
          <w:szCs w:val="32"/>
        </w:rPr>
        <w:t>等七部地方性法规的决定》修正）</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第一条</w:t>
      </w:r>
      <w:r>
        <w:rPr>
          <w:rFonts w:hint="eastAsia" w:eastAsia="仿宋_GB2312;仿宋"/>
          <w:sz w:val="32"/>
          <w:szCs w:val="32"/>
        </w:rPr>
        <w:t>　</w:t>
      </w:r>
      <w:r>
        <w:rPr>
          <w:rFonts w:eastAsia="仿宋_GB2312;仿宋"/>
          <w:sz w:val="32"/>
          <w:szCs w:val="32"/>
        </w:rPr>
        <w:t>为实施《中华人民共和国野生动物保护法》（以下简称《野生动物保护法》），结合本市实际情况，制定本办法。</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第二条</w:t>
      </w:r>
      <w:r>
        <w:rPr>
          <w:rFonts w:hint="eastAsia" w:eastAsia="仿宋_GB2312;仿宋"/>
          <w:sz w:val="32"/>
          <w:szCs w:val="32"/>
        </w:rPr>
        <w:t>　</w:t>
      </w:r>
      <w:r>
        <w:rPr>
          <w:rFonts w:eastAsia="仿宋_GB2312;仿宋"/>
          <w:sz w:val="32"/>
          <w:szCs w:val="32"/>
        </w:rPr>
        <w:t>凡在本市行政区域内从事野生动物的保护、驯养繁殖和利用活动，必须遵守《野生动物保护法》和本办法。</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第三条</w:t>
      </w:r>
      <w:r>
        <w:rPr>
          <w:rFonts w:hint="eastAsia" w:eastAsia="仿宋_GB2312;仿宋"/>
          <w:sz w:val="32"/>
          <w:szCs w:val="32"/>
        </w:rPr>
        <w:t>　</w:t>
      </w:r>
      <w:r>
        <w:rPr>
          <w:rFonts w:eastAsia="仿宋_GB2312;仿宋"/>
          <w:sz w:val="32"/>
          <w:szCs w:val="32"/>
        </w:rPr>
        <w:t>本办法所保护的野生动物是指：</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（一）国务院批准公布的国家重点保护野生动物；</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（二）北京市人民政府公布的市一级保护野生动物；</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（三）北京市野生动物行政主管部门公布的市二级保护野生动物。</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第四条</w:t>
      </w:r>
      <w:r>
        <w:rPr>
          <w:rFonts w:eastAsia="仿宋_GB2312;仿宋"/>
          <w:sz w:val="32"/>
          <w:szCs w:val="32"/>
        </w:rPr>
        <w:t xml:space="preserve">  公民有保护野生动物资源的义务，对侵占或者破坏野生动物资源的行为有权检举和控告。</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第五条</w:t>
      </w:r>
      <w:r>
        <w:rPr>
          <w:rFonts w:hint="eastAsia" w:eastAsia="仿宋_GB2312;仿宋"/>
          <w:sz w:val="32"/>
          <w:szCs w:val="32"/>
        </w:rPr>
        <w:t>　</w:t>
      </w:r>
      <w:r>
        <w:rPr>
          <w:rFonts w:eastAsia="仿宋_GB2312;仿宋"/>
          <w:sz w:val="32"/>
          <w:szCs w:val="32"/>
        </w:rPr>
        <w:t>市和区林业、渔业行政主管部门（以下简称野生动物行政主管部门）分别负责本行政区域内陆生、水生野生动物保护管理工作。</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第六条</w:t>
      </w:r>
      <w:r>
        <w:rPr>
          <w:rFonts w:hint="eastAsia" w:eastAsia="仿宋_GB2312;仿宋"/>
          <w:sz w:val="32"/>
          <w:szCs w:val="32"/>
        </w:rPr>
        <w:t>　</w:t>
      </w:r>
      <w:r>
        <w:rPr>
          <w:rFonts w:eastAsia="仿宋_GB2312;仿宋"/>
          <w:sz w:val="32"/>
          <w:szCs w:val="32"/>
        </w:rPr>
        <w:t>各级野生动物行政主管部门每</w:t>
      </w:r>
      <w:r>
        <w:rPr>
          <w:rFonts w:eastAsia="仿宋_GB2312;仿宋"/>
          <w:sz w:val="32"/>
          <w:szCs w:val="32"/>
        </w:rPr>
        <w:t>10</w:t>
      </w:r>
      <w:r>
        <w:rPr>
          <w:rFonts w:eastAsia="仿宋_GB2312;仿宋"/>
          <w:sz w:val="32"/>
          <w:szCs w:val="32"/>
        </w:rPr>
        <w:t>年组织一次野生动物资源调查，建立野生动物资源档案。</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第七条</w:t>
      </w:r>
      <w:r>
        <w:rPr>
          <w:rFonts w:hint="eastAsia" w:eastAsia="仿宋_GB2312;仿宋"/>
          <w:sz w:val="32"/>
          <w:szCs w:val="32"/>
        </w:rPr>
        <w:t>　</w:t>
      </w:r>
      <w:r>
        <w:rPr>
          <w:rFonts w:eastAsia="仿宋_GB2312;仿宋"/>
          <w:sz w:val="32"/>
          <w:szCs w:val="32"/>
        </w:rPr>
        <w:t>公园、林场、风景游览区应当悬挂巢箱，设置鸟食台、水浴场等，对野生动物进行人工招引和保护。</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第八条</w:t>
      </w:r>
      <w:r>
        <w:rPr>
          <w:rFonts w:hint="eastAsia" w:eastAsia="仿宋_GB2312;仿宋"/>
          <w:sz w:val="32"/>
          <w:szCs w:val="32"/>
        </w:rPr>
        <w:t>　</w:t>
      </w:r>
      <w:r>
        <w:rPr>
          <w:rFonts w:eastAsia="仿宋_GB2312;仿宋"/>
          <w:sz w:val="32"/>
          <w:szCs w:val="32"/>
        </w:rPr>
        <w:t>各级人民政府或者各级野生动物行政主管部门对有下列事迹之一的单位和个人，给予表彰或者奖励：</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（一）拯救国家、本市重点保护野生动物的；</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（二）检举揭发非法捕杀国家、本市重点保护野生动物的；</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（三）保护管理和驯养繁殖野生动物成效显著的；</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（四）野生动物科学研究工作成绩突出的；</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（五）招鸟工作成绩显著的；</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（六）执行《野生动物保护法》和本办法成绩显著的。</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第九条</w:t>
      </w:r>
      <w:r>
        <w:rPr>
          <w:rFonts w:hint="eastAsia" w:eastAsia="仿宋_GB2312;仿宋"/>
          <w:sz w:val="32"/>
          <w:szCs w:val="32"/>
        </w:rPr>
        <w:t>　</w:t>
      </w:r>
      <w:r>
        <w:rPr>
          <w:rFonts w:eastAsia="仿宋_GB2312;仿宋"/>
          <w:sz w:val="32"/>
          <w:szCs w:val="32"/>
        </w:rPr>
        <w:t>保护野生动物生存环境。禁止任何单位和个人破坏野生动物生存环境。</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破坏野生动物主要生息繁衍场所的，由区野生动物行政主管部门责令停止破坏行为，限期恢复原状，可以并处恢复原状所需费用</w:t>
      </w:r>
      <w:r>
        <w:rPr>
          <w:rFonts w:eastAsia="仿宋_GB2312;仿宋"/>
          <w:sz w:val="32"/>
          <w:szCs w:val="32"/>
        </w:rPr>
        <w:t>3</w:t>
      </w:r>
      <w:r>
        <w:rPr>
          <w:rFonts w:eastAsia="仿宋_GB2312;仿宋"/>
          <w:sz w:val="32"/>
          <w:szCs w:val="32"/>
        </w:rPr>
        <w:t>倍以下的罚款。</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第十条</w:t>
      </w:r>
      <w:r>
        <w:rPr>
          <w:rFonts w:hint="eastAsia" w:eastAsia="仿宋_GB2312;仿宋"/>
          <w:sz w:val="32"/>
          <w:szCs w:val="32"/>
        </w:rPr>
        <w:t>　</w:t>
      </w:r>
      <w:r>
        <w:rPr>
          <w:rFonts w:eastAsia="仿宋_GB2312;仿宋"/>
          <w:sz w:val="32"/>
          <w:szCs w:val="32"/>
        </w:rPr>
        <w:t>禁止任何单位和个人非法猎捕、杀害国家、本市重点保护野生动物。因科学研究、驯养繁殖、展览或者其他特殊情况，需要捕捉国家、本市重点保护野生动物的，按下列规定办理：</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（一）捕捉国家一级保护野生动物的，经市野生动物行政主管部门审核同意，向国务院野生动物行政主管部门申请特许猎捕证；</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（二）捕捉国家二级保护野生动物和本市一级保护野生动物的，必须向市野生动物行政主管部门申请特许猎捕证；</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（三）猎捕本市二级保护野生动物的，必须向狩猎地所在区野生动物行政主管部门申请狩猎证。</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第十一条</w:t>
      </w:r>
      <w:r>
        <w:rPr>
          <w:rFonts w:hint="eastAsia" w:eastAsia="仿宋_GB2312;仿宋"/>
          <w:sz w:val="32"/>
          <w:szCs w:val="32"/>
        </w:rPr>
        <w:t>　</w:t>
      </w:r>
      <w:r>
        <w:rPr>
          <w:rFonts w:eastAsia="仿宋_GB2312;仿宋"/>
          <w:sz w:val="32"/>
          <w:szCs w:val="32"/>
        </w:rPr>
        <w:t>非法捕杀国家重点保护野生动物的，依照《野生动物保护法》相关规定处理。</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第十二条</w:t>
      </w:r>
      <w:r>
        <w:rPr>
          <w:rFonts w:hint="eastAsia" w:eastAsia="仿宋_GB2312;仿宋"/>
          <w:sz w:val="32"/>
          <w:szCs w:val="32"/>
        </w:rPr>
        <w:t>　</w:t>
      </w:r>
      <w:r>
        <w:rPr>
          <w:rFonts w:eastAsia="仿宋_GB2312;仿宋"/>
          <w:sz w:val="32"/>
          <w:szCs w:val="32"/>
        </w:rPr>
        <w:t>持枪猎捕野生动物的，必须取得区公安机关核发的持枪证。未取得持枪证持枪猎捕的，由公安机关依照《中华人民共和国治安管理处罚法》的规定处罚。</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第十三条</w:t>
      </w:r>
      <w:r>
        <w:rPr>
          <w:rFonts w:hint="eastAsia" w:eastAsia="仿宋_GB2312;仿宋"/>
          <w:sz w:val="32"/>
          <w:szCs w:val="32"/>
        </w:rPr>
        <w:t>　</w:t>
      </w:r>
      <w:r>
        <w:rPr>
          <w:rFonts w:eastAsia="仿宋_GB2312;仿宋"/>
          <w:sz w:val="32"/>
          <w:szCs w:val="32"/>
        </w:rPr>
        <w:t>每年</w:t>
      </w:r>
      <w:r>
        <w:rPr>
          <w:rFonts w:eastAsia="仿宋_GB2312;仿宋"/>
          <w:sz w:val="32"/>
          <w:szCs w:val="32"/>
        </w:rPr>
        <w:t>3</w:t>
      </w:r>
      <w:r>
        <w:rPr>
          <w:rFonts w:eastAsia="仿宋_GB2312;仿宋"/>
          <w:sz w:val="32"/>
          <w:szCs w:val="32"/>
        </w:rPr>
        <w:t>月至</w:t>
      </w:r>
      <w:r>
        <w:rPr>
          <w:rFonts w:eastAsia="仿宋_GB2312;仿宋"/>
          <w:sz w:val="32"/>
          <w:szCs w:val="32"/>
        </w:rPr>
        <w:t>5</w:t>
      </w:r>
      <w:r>
        <w:rPr>
          <w:rFonts w:eastAsia="仿宋_GB2312;仿宋"/>
          <w:sz w:val="32"/>
          <w:szCs w:val="32"/>
        </w:rPr>
        <w:t>月、</w:t>
      </w:r>
      <w:r>
        <w:rPr>
          <w:rFonts w:eastAsia="仿宋_GB2312;仿宋"/>
          <w:sz w:val="32"/>
          <w:szCs w:val="32"/>
        </w:rPr>
        <w:t>9</w:t>
      </w:r>
      <w:r>
        <w:rPr>
          <w:rFonts w:eastAsia="仿宋_GB2312;仿宋"/>
          <w:sz w:val="32"/>
          <w:szCs w:val="32"/>
        </w:rPr>
        <w:t>月至</w:t>
      </w:r>
      <w:r>
        <w:rPr>
          <w:rFonts w:eastAsia="仿宋_GB2312;仿宋"/>
          <w:sz w:val="32"/>
          <w:szCs w:val="32"/>
        </w:rPr>
        <w:t>11</w:t>
      </w:r>
      <w:r>
        <w:rPr>
          <w:rFonts w:eastAsia="仿宋_GB2312;仿宋"/>
          <w:sz w:val="32"/>
          <w:szCs w:val="32"/>
        </w:rPr>
        <w:t>月禁止狩猎。</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城、近郊区，远郊区城镇，公园、风景游览区，自然保护区，国营林场，市和区野生动物行政主管部门或者公安部门划定的其他禁猎地区禁止狩猎。</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禁止使用毒药、爆炸物、电击或者电子诱捕装置以及猎套、猎夹、地弓、地枪、排铳、汽枪、粘网、军用武器等工具进行猎捕，禁止使用非人为直接操作并危害人畜安全的狩猎装置、夜间照明行猎、歼灭性围猎、捣毁巢穴、火攻、烟熏、网捕、挖洞、陷阱等方法进行猎捕，但因科学研究确需网捕、电子诱捕的除外。</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违反本条第一、二、三款规定的，由区野生动物行政主管部门没收猎捕工具，并按法律、行政法规的规定处以罚款；情节严重，构成犯罪的，依法追究刑事责任。</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第十四条</w:t>
      </w:r>
      <w:r>
        <w:rPr>
          <w:rFonts w:hint="eastAsia" w:eastAsia="仿宋_GB2312;仿宋"/>
          <w:sz w:val="32"/>
          <w:szCs w:val="32"/>
        </w:rPr>
        <w:t>　</w:t>
      </w:r>
      <w:r>
        <w:rPr>
          <w:rFonts w:eastAsia="仿宋_GB2312;仿宋"/>
          <w:sz w:val="32"/>
          <w:szCs w:val="32"/>
        </w:rPr>
        <w:t>本市鼓励驯养繁殖野生动物。</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驯养繁殖国家、本市重点保护野生动物的单位和个人，应当持有驯养繁殖许可证。</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国家重点保护野生动物驯养繁殖许可证的核发办法，按照国务院野生动物行政主管部门的规定执行。本市重点保护野生动物驯养繁殖许可证核发办法，由市野生动物行政主管部门制定。</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第十五条</w:t>
      </w:r>
      <w:r>
        <w:rPr>
          <w:rFonts w:hint="eastAsia" w:eastAsia="仿宋_GB2312;仿宋"/>
          <w:sz w:val="32"/>
          <w:szCs w:val="32"/>
        </w:rPr>
        <w:t>　</w:t>
      </w:r>
      <w:r>
        <w:rPr>
          <w:rFonts w:eastAsia="仿宋_GB2312;仿宋"/>
          <w:sz w:val="32"/>
          <w:szCs w:val="32"/>
        </w:rPr>
        <w:t>禁止出售、收购国家、本市重点保护野生动物或者其产品。因科学研究、驯养繁殖、展览等特殊情况，需要出售、收购、利用国家一级保护野生动物或者其产品的，经市野生动物行政主管部门审核同意，报国务院野生动物行政主管部门或者其授权单位批准；出售、收购、利用国家二级、本市重点保护野生动物或者其产品的，由市野生动物行政主管部门或者其授权单位批准。</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驯养繁殖的国家、本市受保护的野生动物及其产品销售管理办法，由市人民政府制定。</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第十六条</w:t>
      </w:r>
      <w:r>
        <w:rPr>
          <w:rFonts w:hint="eastAsia" w:eastAsia="仿宋_GB2312;仿宋"/>
          <w:sz w:val="32"/>
          <w:szCs w:val="32"/>
        </w:rPr>
        <w:t>　</w:t>
      </w:r>
      <w:r>
        <w:rPr>
          <w:rFonts w:eastAsia="仿宋_GB2312;仿宋"/>
          <w:sz w:val="32"/>
          <w:szCs w:val="32"/>
        </w:rPr>
        <w:t>本市各级工商行政管理部门、野生动物行政主管部门应当对出售、收购、运输、携带野生动物及其产品的活动进行监督管理。</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对违反本办法规定，非法出售、收购、运输、携带国家重点保护野生动物或者其产品的，没收实物和违法所得，并处相当于野生动物及其制品价值</w:t>
      </w:r>
      <w:r>
        <w:rPr>
          <w:rFonts w:eastAsia="仿宋_GB2312;仿宋"/>
          <w:sz w:val="32"/>
          <w:szCs w:val="32"/>
        </w:rPr>
        <w:t>2</w:t>
      </w:r>
      <w:r>
        <w:rPr>
          <w:rFonts w:eastAsia="仿宋_GB2312;仿宋"/>
          <w:sz w:val="32"/>
          <w:szCs w:val="32"/>
        </w:rPr>
        <w:t>倍以上</w:t>
      </w:r>
      <w:r>
        <w:rPr>
          <w:rFonts w:eastAsia="仿宋_GB2312;仿宋"/>
          <w:sz w:val="32"/>
          <w:szCs w:val="32"/>
        </w:rPr>
        <w:t>10</w:t>
      </w:r>
      <w:r>
        <w:rPr>
          <w:rFonts w:eastAsia="仿宋_GB2312;仿宋"/>
          <w:sz w:val="32"/>
          <w:szCs w:val="32"/>
        </w:rPr>
        <w:t>倍以下的罚款；情节严重，构成犯罪的，依法追究刑事责任。</w:t>
      </w:r>
    </w:p>
    <w:p>
      <w:pPr>
        <w:pStyle w:val="Normal"/>
        <w:overflowPunct w:val="false"/>
        <w:spacing w:lineRule="exact" w:line="550"/>
        <w:ind w:firstLineChars="200" w:startChars="0" w:start="0" w:endChars="0" w:end="0"/>
        <w:rPr>
          <w:rFonts w:eastAsia="仿宋_GB2312;仿宋"/>
          <w:sz w:val="32"/>
          <w:szCs w:val="32"/>
        </w:rPr>
      </w:pPr>
      <w:r>
        <w:rPr>
          <w:rFonts w:eastAsia="仿宋_GB2312;仿宋"/>
          <w:sz w:val="32"/>
          <w:szCs w:val="32"/>
        </w:rPr>
        <w:t>对违反本办法规定，非法出售、收购、运输、携带本市重点保护野生动物或者其产品的，没收实物和违法所得，并处相当于野生动物及其制品价值</w:t>
      </w:r>
      <w:r>
        <w:rPr>
          <w:rFonts w:eastAsia="仿宋_GB2312;仿宋"/>
          <w:sz w:val="32"/>
          <w:szCs w:val="32"/>
        </w:rPr>
        <w:t>1</w:t>
      </w:r>
      <w:r>
        <w:rPr>
          <w:rFonts w:eastAsia="仿宋_GB2312;仿宋"/>
          <w:sz w:val="32"/>
          <w:szCs w:val="32"/>
        </w:rPr>
        <w:t>倍以上</w:t>
      </w:r>
      <w:r>
        <w:rPr>
          <w:rFonts w:eastAsia="仿宋_GB2312;仿宋"/>
          <w:sz w:val="32"/>
          <w:szCs w:val="32"/>
        </w:rPr>
        <w:t>5</w:t>
      </w:r>
      <w:r>
        <w:rPr>
          <w:rFonts w:eastAsia="仿宋_GB2312;仿宋"/>
          <w:sz w:val="32"/>
          <w:szCs w:val="32"/>
        </w:rPr>
        <w:t>倍以下的罚款；情节严重，构成犯罪的，依法追究刑事责任。</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第十七条</w:t>
      </w:r>
      <w:r>
        <w:rPr>
          <w:rFonts w:hint="eastAsia" w:eastAsia="仿宋_GB2312;仿宋"/>
          <w:sz w:val="32"/>
          <w:szCs w:val="32"/>
        </w:rPr>
        <w:t>　</w:t>
      </w:r>
      <w:r>
        <w:rPr>
          <w:rFonts w:eastAsia="仿宋_GB2312;仿宋"/>
          <w:sz w:val="32"/>
          <w:szCs w:val="32"/>
        </w:rPr>
        <w:t>伪造、倒卖、转让特许猎捕证、狩猎证、驯养繁殖许可证或者允许进出口证明书的，由野生动物行政主管部门或者工商行政管理部门吊销证件，没收违法所得，并按法律、行政法规的规定处以罚款；构成犯罪的，依法追究刑事责任。</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第十八条</w:t>
      </w:r>
      <w:r>
        <w:rPr>
          <w:rFonts w:hint="eastAsia" w:eastAsia="仿宋_GB2312;仿宋"/>
          <w:sz w:val="32"/>
          <w:szCs w:val="32"/>
        </w:rPr>
        <w:t>　</w:t>
      </w:r>
      <w:r>
        <w:rPr>
          <w:rFonts w:eastAsia="仿宋_GB2312;仿宋"/>
          <w:sz w:val="32"/>
          <w:szCs w:val="32"/>
        </w:rPr>
        <w:t>野生动物行政主管部门工作人员在野生动物保护管理工作中玩忽职守、滥用职权、徇私舞弊的，由其所在单位或者上级主管机关给予行政处分；情节严重，构成犯罪的，依法追究刑事责任。</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第十九条</w:t>
      </w:r>
      <w:r>
        <w:rPr>
          <w:rFonts w:hint="eastAsia" w:eastAsia="仿宋_GB2312;仿宋"/>
          <w:sz w:val="32"/>
          <w:szCs w:val="32"/>
        </w:rPr>
        <w:t>　</w:t>
      </w:r>
      <w:r>
        <w:rPr>
          <w:rFonts w:eastAsia="仿宋_GB2312;仿宋"/>
          <w:sz w:val="32"/>
          <w:szCs w:val="32"/>
        </w:rPr>
        <w:t>当事人对行政处罚决定不服的，可以在接到处罚通知之日起</w:t>
      </w:r>
      <w:r>
        <w:rPr>
          <w:rFonts w:eastAsia="仿宋_GB2312;仿宋"/>
          <w:sz w:val="32"/>
          <w:szCs w:val="32"/>
        </w:rPr>
        <w:t>15</w:t>
      </w:r>
      <w:r>
        <w:rPr>
          <w:rFonts w:eastAsia="仿宋_GB2312;仿宋"/>
          <w:sz w:val="32"/>
          <w:szCs w:val="32"/>
        </w:rPr>
        <w:t>日内，向作出处罚决定机关的上一级机关申请复议，但对没收猎获物、猎捕工具的决定，必须立即执行；对上一级机关复议决定不服的，可以在接到复议决定通知之日起</w:t>
      </w:r>
      <w:r>
        <w:rPr>
          <w:rFonts w:eastAsia="仿宋_GB2312;仿宋"/>
          <w:sz w:val="32"/>
          <w:szCs w:val="32"/>
        </w:rPr>
        <w:t>15</w:t>
      </w:r>
      <w:r>
        <w:rPr>
          <w:rFonts w:eastAsia="仿宋_GB2312;仿宋"/>
          <w:sz w:val="32"/>
          <w:szCs w:val="32"/>
        </w:rPr>
        <w:t>日内，向人民法院起诉。当事人也可以在接到处罚通知之日起</w:t>
      </w:r>
      <w:r>
        <w:rPr>
          <w:rFonts w:eastAsia="仿宋_GB2312;仿宋"/>
          <w:sz w:val="32"/>
          <w:szCs w:val="32"/>
        </w:rPr>
        <w:t>15</w:t>
      </w:r>
      <w:r>
        <w:rPr>
          <w:rFonts w:eastAsia="仿宋_GB2312;仿宋"/>
          <w:sz w:val="32"/>
          <w:szCs w:val="32"/>
        </w:rPr>
        <w:t>日内，直接向人民法院起诉。当事人逾期不申请复议或者不向人民法院起诉，又不履行处罚决定的，由作出处罚决定的机关申请人民法院强制执行。</w:t>
      </w:r>
    </w:p>
    <w:p>
      <w:pPr>
        <w:pStyle w:val="Normal"/>
        <w:overflowPunct w:val="false"/>
        <w:spacing w:lineRule="exact" w:line="550"/>
        <w:ind w:firstLineChars="200" w:startChars="0" w:start="0" w:endChars="0" w:end="0"/>
        <w:rPr>
          <w:rFonts w:eastAsia="仿宋_GB2312;仿宋"/>
          <w:sz w:val="32"/>
          <w:szCs w:val="32"/>
        </w:rPr>
      </w:pPr>
      <w:r>
        <w:rPr>
          <w:rFonts w:ascii="黑体" w:hAnsi="黑体" w:cs="黑体" w:eastAsia="黑体"/>
          <w:sz w:val="32"/>
          <w:szCs w:val="32"/>
        </w:rPr>
        <w:t>第二十条</w:t>
      </w:r>
      <w:r>
        <w:rPr>
          <w:rFonts w:hint="eastAsia" w:eastAsia="仿宋_GB2312;仿宋"/>
          <w:sz w:val="32"/>
          <w:szCs w:val="32"/>
        </w:rPr>
        <w:t>　</w:t>
      </w:r>
      <w:r>
        <w:rPr>
          <w:rFonts w:eastAsia="仿宋_GB2312;仿宋"/>
          <w:sz w:val="32"/>
          <w:szCs w:val="32"/>
        </w:rPr>
        <w:t>本办法自</w:t>
      </w:r>
      <w:r>
        <w:rPr>
          <w:rFonts w:eastAsia="仿宋_GB2312;仿宋"/>
          <w:sz w:val="32"/>
          <w:szCs w:val="32"/>
        </w:rPr>
        <w:t>1989</w:t>
      </w:r>
      <w:r>
        <w:rPr>
          <w:rFonts w:eastAsia="仿宋_GB2312;仿宋"/>
          <w:sz w:val="32"/>
          <w:szCs w:val="32"/>
        </w:rPr>
        <w:t>年</w:t>
      </w:r>
      <w:r>
        <w:rPr>
          <w:rFonts w:eastAsia="仿宋_GB2312;仿宋"/>
          <w:sz w:val="32"/>
          <w:szCs w:val="32"/>
        </w:rPr>
        <w:t>6</w:t>
      </w:r>
      <w:r>
        <w:rPr>
          <w:rFonts w:eastAsia="仿宋_GB2312;仿宋"/>
          <w:sz w:val="32"/>
          <w:szCs w:val="32"/>
        </w:rPr>
        <w:t>月</w:t>
      </w:r>
      <w:r>
        <w:rPr>
          <w:rFonts w:eastAsia="仿宋_GB2312;仿宋"/>
          <w:sz w:val="32"/>
          <w:szCs w:val="32"/>
        </w:rPr>
        <w:t>1</w:t>
      </w:r>
      <w:r>
        <w:rPr>
          <w:rFonts w:eastAsia="仿宋_GB2312;仿宋"/>
          <w:sz w:val="32"/>
          <w:szCs w:val="32"/>
        </w:rPr>
        <w:t>日起施行。</w:t>
      </w:r>
    </w:p>
    <w:p>
      <w:pPr>
        <w:pStyle w:val="Normal"/>
        <w:rPr>
          <w:rFonts w:eastAsia="仿宋_GB2312;仿宋"/>
          <w:sz w:val="32"/>
          <w:szCs w:val="32"/>
        </w:rPr>
      </w:pPr>
      <w:r>
        <w:rPr>
          <w:rFonts w:eastAsia="仿宋_GB2312;仿宋"/>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小标宋简体">
    <w:altName w:val="黑体"/>
    <w:charset w:val="86"/>
    <w:family w:val="auto"/>
    <w:pitch w:val="default"/>
  </w:font>
  <w:font w:name="楷体_GB2312">
    <w:altName w:val="楷体"/>
    <w:charset w:val="86"/>
    <w:family w:val="modern"/>
    <w:pitch w:val="default"/>
  </w:font>
  <w:font w:name="黑体">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2019-12-10T10:54:39Z</dcterms:created>
  <dc:creator>admin</dc:creator>
  <dc:description/>
  <dc:language>en-US</dc:language>
  <cp:lastModifiedBy>admin</cp:lastModifiedBy>
  <dcterms:modified xsi:type="dcterms:W3CDTF">2019-12-10T10:55:05Z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ies>
</file>