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uppressAutoHyphens w:val="false"/>
        <w:overflowPunct w:val="false"/>
        <w:spacing w:lineRule="exact" w:line="580"/>
        <w:rPr>
          <w:rFonts w:ascii="Times New Roman" w:hAnsi="Times New Roman" w:eastAsia="方正小标宋简体" w:cs="Times New Roman"/>
          <w:sz w:val="44"/>
          <w:szCs w:val="32"/>
        </w:rPr>
      </w:pPr>
      <w:r>
        <w:rPr>
          <w:rFonts w:eastAsia="方正小标宋简体" w:cs="Times New Roman" w:ascii="Times New Roman" w:hAnsi="Times New Roman"/>
          <w:sz w:val="44"/>
          <w:szCs w:val="32"/>
        </w:rPr>
      </w:r>
    </w:p>
    <w:p>
      <w:pPr>
        <w:pStyle w:val="Normal"/>
        <w:suppressAutoHyphens w:val="false"/>
        <w:overflowPunct w:val="false"/>
        <w:spacing w:lineRule="exact" w:line="580"/>
        <w:jc w:val="center"/>
        <w:rPr>
          <w:rFonts w:ascii="Times New Roman" w:hAnsi="Times New Roman" w:eastAsia="方正小标宋简体" w:cs="Times New Roman" w:hint="eastAsia"/>
          <w:sz w:val="44"/>
          <w:szCs w:val="32"/>
        </w:rPr>
      </w:pPr>
      <w:r>
        <w:rPr>
          <w:rFonts w:ascii="Times New Roman" w:hAnsi="Times New Roman" w:cs="Times New Roman" w:hint="eastAsia" w:eastAsia="方正小标宋简体"/>
          <w:sz w:val="44"/>
          <w:szCs w:val="32"/>
        </w:rPr>
        <w:t>北京市人民代表大会常务委员会关于促进国家服务业扩大开放综合示范区建设的决定</w:t>
      </w:r>
    </w:p>
    <w:p>
      <w:pPr>
        <w:pStyle w:val="Normal"/>
        <w:suppressAutoHyphens w:val="false"/>
        <w:overflowPunct w:val="false"/>
        <w:spacing w:lineRule="exact" w:line="58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2022</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5</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25</w:t>
      </w:r>
      <w:r>
        <w:rPr>
          <w:rFonts w:ascii="Times New Roman" w:hAnsi="Times New Roman" w:cs="Times New Roman" w:eastAsia="楷体_GB2312"/>
          <w:sz w:val="32"/>
          <w:szCs w:val="32"/>
        </w:rPr>
        <w:t>日北京市第十五届人民代表大会</w:t>
      </w:r>
    </w:p>
    <w:p>
      <w:pPr>
        <w:pStyle w:val="Normal"/>
        <w:suppressAutoHyphens w:val="false"/>
        <w:overflowPunct w:val="false"/>
        <w:spacing w:lineRule="exact" w:line="58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常务委员会第三十九次会议通过）</w:t>
      </w:r>
    </w:p>
    <w:p>
      <w:pPr>
        <w:pStyle w:val="Normal"/>
        <w:suppressAutoHyphens w:val="false"/>
        <w:overflowPunct w:val="false"/>
        <w:spacing w:lineRule="exact" w:line="580"/>
        <w:rPr>
          <w:rFonts w:ascii="仿宋;方正仿宋_GBK" w:hAnsi="仿宋;方正仿宋_GBK" w:eastAsia="仿宋;方正仿宋_GBK" w:cs="仿宋;方正仿宋_GBK" w:hint="eastAsia"/>
          <w:sz w:val="32"/>
          <w:szCs w:val="32"/>
        </w:rPr>
      </w:pPr>
      <w:r>
        <w:rPr>
          <w:rFonts w:eastAsia="仿宋;方正仿宋_GBK" w:cs="仿宋;方正仿宋_GBK" w:hint="eastAsia" w:ascii="仿宋;方正仿宋_GBK" w:hAnsi="仿宋;方正仿宋_GBK"/>
          <w:sz w:val="32"/>
          <w:szCs w:val="32"/>
        </w:rPr>
      </w:r>
    </w:p>
    <w:p>
      <w:pPr>
        <w:pStyle w:val="Normal"/>
        <w:suppressAutoHyphens w:val="false"/>
        <w:overflowPunct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val="zh-TW"/>
        </w:rPr>
        <w:t>建设</w:t>
      </w:r>
      <w:r>
        <w:rPr>
          <w:rFonts w:ascii="仿宋_GB2312" w:hAnsi="仿宋_GB2312" w:cs="仿宋_GB2312" w:hint="eastAsia" w:eastAsia="仿宋_GB2312"/>
          <w:sz w:val="32"/>
          <w:szCs w:val="32"/>
        </w:rPr>
        <w:t>国家服务业扩大开放综合示范区（以下简称综合示范区）是</w:t>
      </w:r>
      <w:r>
        <w:rPr>
          <w:rFonts w:ascii="仿宋_GB2312" w:hAnsi="仿宋_GB2312" w:cs="仿宋_GB2312" w:hint="eastAsia" w:eastAsia="仿宋_GB2312"/>
          <w:sz w:val="32"/>
          <w:szCs w:val="32"/>
          <w:lang w:val="zh-TW"/>
        </w:rPr>
        <w:t>党中央、国务院着眼于构建新发展格局和建设迈向中华民族伟大复兴的社会主义大国首都作出</w:t>
      </w:r>
      <w:r>
        <w:rPr>
          <w:rFonts w:ascii="仿宋_GB2312" w:hAnsi="仿宋_GB2312" w:cs="仿宋_GB2312" w:hint="eastAsia" w:eastAsia="仿宋_GB2312"/>
          <w:sz w:val="32"/>
          <w:szCs w:val="32"/>
        </w:rPr>
        <w:t>的重大战略决策，充分体现了以习近平同志为核心的党中央对北京工作的高度重视和亲切关怀。为了贯彻落实习近平总书记重要讲话及国务院对本市服务业扩大开放系列批复精神，</w:t>
      </w:r>
      <w:r>
        <w:rPr>
          <w:rFonts w:ascii="仿宋_GB2312" w:hAnsi="仿宋_GB2312" w:cs="仿宋_GB2312" w:hint="eastAsia" w:eastAsia="仿宋_GB2312"/>
          <w:sz w:val="32"/>
          <w:szCs w:val="32"/>
          <w:lang w:val="zh-TW"/>
        </w:rPr>
        <w:t>推进</w:t>
      </w:r>
      <w:r>
        <w:rPr>
          <w:rFonts w:ascii="仿宋_GB2312" w:hAnsi="仿宋_GB2312" w:cs="仿宋_GB2312" w:hint="eastAsia" w:eastAsia="仿宋_GB2312"/>
          <w:sz w:val="32"/>
          <w:szCs w:val="32"/>
        </w:rPr>
        <w:t>综合示范区建设，</w:t>
      </w:r>
      <w:r>
        <w:rPr>
          <w:rFonts w:ascii="仿宋_GB2312" w:hAnsi="仿宋_GB2312" w:cs="仿宋_GB2312" w:hint="eastAsia" w:eastAsia="仿宋_GB2312"/>
          <w:sz w:val="32"/>
          <w:szCs w:val="32"/>
          <w:lang w:val="zh-TW"/>
        </w:rPr>
        <w:t>促进</w:t>
      </w:r>
      <w:r>
        <w:rPr>
          <w:rFonts w:ascii="仿宋_GB2312" w:hAnsi="仿宋_GB2312" w:cs="仿宋_GB2312" w:hint="eastAsia" w:eastAsia="仿宋_GB2312"/>
          <w:sz w:val="32"/>
          <w:szCs w:val="32"/>
        </w:rPr>
        <w:t>服务业高质量发展</w:t>
      </w:r>
      <w:r>
        <w:rPr>
          <w:rFonts w:ascii="仿宋_GB2312" w:hAnsi="仿宋_GB2312" w:cs="仿宋_GB2312" w:hint="eastAsia" w:eastAsia="仿宋_GB2312"/>
          <w:sz w:val="32"/>
          <w:szCs w:val="32"/>
          <w:lang w:val="zh-TW"/>
        </w:rPr>
        <w:t>和全方位对外开放</w:t>
      </w:r>
      <w:r>
        <w:rPr>
          <w:rFonts w:ascii="仿宋_GB2312" w:hAnsi="仿宋_GB2312" w:cs="仿宋_GB2312" w:hint="eastAsia" w:eastAsia="仿宋_GB2312"/>
          <w:sz w:val="32"/>
          <w:szCs w:val="32"/>
        </w:rPr>
        <w:t>，结合本市实际情况，</w:t>
      </w:r>
      <w:r>
        <w:rPr>
          <w:rFonts w:ascii="仿宋_GB2312" w:hAnsi="仿宋_GB2312" w:cs="仿宋_GB2312" w:hint="eastAsia" w:eastAsia="仿宋_GB2312"/>
          <w:sz w:val="32"/>
          <w:szCs w:val="32"/>
          <w:lang w:val="zh-TW"/>
        </w:rPr>
        <w:t>北京市人民代表大会常务委员会</w:t>
      </w:r>
      <w:r>
        <w:rPr>
          <w:rFonts w:ascii="仿宋_GB2312" w:hAnsi="仿宋_GB2312" w:cs="仿宋_GB2312" w:hint="eastAsia" w:eastAsia="仿宋_GB2312"/>
          <w:sz w:val="32"/>
          <w:szCs w:val="32"/>
        </w:rPr>
        <w:t>作出如下决定：</w:t>
      </w:r>
    </w:p>
    <w:p>
      <w:pPr>
        <w:pStyle w:val="Normal"/>
        <w:suppressAutoHyphens w:val="false"/>
        <w:overflowPunct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综合示范区建设应当以习近平新时代中国特色社会主义思想为指导，深入贯彻习近平总书记对北京一系列重要讲话精神，完整、准确、全面贯彻新发展理念，服务和融入以国内大循环为主体、国内国际双循环相互促进的新发展格局；立足首都城市战略定位，</w:t>
      </w:r>
      <w:r>
        <w:rPr>
          <w:rFonts w:ascii="仿宋_GB2312" w:hAnsi="仿宋_GB2312" w:cs="仿宋_GB2312" w:hint="eastAsia" w:eastAsia="仿宋_GB2312"/>
          <w:sz w:val="32"/>
          <w:szCs w:val="32"/>
          <w:lang w:val="zh-TW"/>
        </w:rPr>
        <w:t>开展国际高水平自由贸易协定规则对接先行先试，</w:t>
      </w:r>
      <w:r>
        <w:rPr>
          <w:rFonts w:ascii="仿宋_GB2312" w:hAnsi="仿宋_GB2312" w:cs="仿宋_GB2312" w:hint="eastAsia" w:eastAsia="仿宋_GB2312"/>
          <w:sz w:val="32"/>
          <w:szCs w:val="32"/>
        </w:rPr>
        <w:t>推动由商品和要素流动型开放向规则等制度型开放转变，为服务业高质量发展营造良好制度环境，为推动全方位对外开放作出更大贡献。</w:t>
      </w:r>
    </w:p>
    <w:p>
      <w:pPr>
        <w:pStyle w:val="Normal"/>
        <w:suppressAutoHyphens w:val="false"/>
        <w:overflowPunct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综合示范区建设应当落实国务院系列批复确定的发展目标，市场化、法治化、国际化营商环境进一步优化，产业竞争力显著增强，风险防控有力有效，更好服务全国服务业扩大开放，率先建成与国际高标准经贸规则相衔接的服务业开放体系，服务业经济规模和国际竞争力进入世界前列。</w:t>
      </w:r>
    </w:p>
    <w:p>
      <w:pPr>
        <w:pStyle w:val="Normal"/>
        <w:suppressAutoHyphens w:val="false"/>
        <w:overflowPunct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市综合示范区工作领导小组统筹协调、整体推进综合示范区建设，领导小组办公室负责领导小组的相关工作；区综合示范区工作领导小组及办公室，负责本区综合示范区建设的具体工作。各重点园区管理机构承担综合示范区建设相关具体事务；有条件的重点园区经市人民政府批准，可以设立不以营利为目的、实行企业化管理的法定机构，履行园区管理机构职责。</w:t>
      </w:r>
    </w:p>
    <w:p>
      <w:pPr>
        <w:pStyle w:val="Normal"/>
        <w:suppressAutoHyphens w:val="false"/>
        <w:overflowPunct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综合示范区建设应当聚焦科技服务、数字经济、数字贸易、金融服务、互联网信息服务、商贸服务、文旅体育服务、教育服务、健康医疗服务、专业服务、航空服务等服务业重点行业领域，探索服务业扩大开放的新业态、新模式、新路径，稳妥有序推进服务业“引进来”“走出去”，进一步深化改革、扩大开放。</w:t>
      </w:r>
    </w:p>
    <w:p>
      <w:pPr>
        <w:pStyle w:val="Normal"/>
        <w:suppressAutoHyphens w:val="false"/>
        <w:overflowPunct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五、综合示范区建设应当聚焦重点园区，在园区更新、管理体制、运营服务、制度政策供给等方面</w:t>
      </w:r>
      <w:r>
        <w:rPr>
          <w:rFonts w:ascii="仿宋_GB2312" w:hAnsi="仿宋_GB2312" w:cs="仿宋_GB2312" w:hint="eastAsia" w:eastAsia="仿宋_GB2312"/>
          <w:sz w:val="32"/>
          <w:szCs w:val="32"/>
          <w:lang w:val="zh-TW"/>
        </w:rPr>
        <w:t>开展</w:t>
      </w:r>
      <w:r>
        <w:rPr>
          <w:rFonts w:ascii="仿宋_GB2312" w:hAnsi="仿宋_GB2312" w:cs="仿宋_GB2312" w:hint="eastAsia" w:eastAsia="仿宋_GB2312"/>
          <w:sz w:val="32"/>
          <w:szCs w:val="32"/>
        </w:rPr>
        <w:t>体制机制创新；突出各园区特色和产业优势，引进和培育符合园区定位的优质项目，推动重点园区特色化、差异化发展，形成错位发展、协同联动发展格局。建立健全重点园区市、区统筹协调机制，探索重点园区考核评价机制，对重点园区进行动态调整。加大重点园区人才引进落户支持力度。</w:t>
      </w:r>
    </w:p>
    <w:p>
      <w:pPr>
        <w:pStyle w:val="Normal"/>
        <w:suppressAutoHyphens w:val="false"/>
        <w:overflowPunct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综合示范区建设应当合理配置和高效利用要素资源，充分释放资金、数据、技术、土地、人才等要素的市场活力。推进资金跨境流动便利。支持北京证券交易所发展。探索数据要素化和要素市场化改革，规范数据跨境安全有序流动。促进技术成果转化，强化知识产权价值实现。保障重大项目合理用地需求。推动国际人才服务保障全环节改革。</w:t>
      </w:r>
    </w:p>
    <w:p>
      <w:pPr>
        <w:pStyle w:val="Normal"/>
        <w:suppressAutoHyphens w:val="false"/>
        <w:overflowPunct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综合示范区建设应当与国际科技创新中心建设、数字经济标杆城市建设、供给侧结构性改革、京津冀协同发展等协调联动；利用中国国际服务贸易交易会、中关村论坛、金融街论坛等开放交流平台，扩大综合示范区政策集成效应；与自由贸易试验区协调联动，自由贸易试验区服务业开放政策具备条件的，推动在综合示范区全面实施。有序复制、推广各自由贸易试验区成熟经验；加强与其他服务业扩大开放综合试点省市的交流合作，拓展现有成果，打造交流合作新亮点，服务国家开放发展大局。</w:t>
      </w:r>
    </w:p>
    <w:p>
      <w:pPr>
        <w:pStyle w:val="Normal"/>
        <w:suppressAutoHyphens w:val="false"/>
        <w:overflowPunct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八、综合示范区建设应当建立健全更加开放透明、规范高效的市场主体准入和退出机制，持续提升投资便利度和跨境贸易便利化水平，优化外商投资服务管理，维护公平竞争秩序；优化事前事中事后全流程监管，</w:t>
      </w:r>
      <w:r>
        <w:rPr>
          <w:rFonts w:ascii="仿宋_GB2312" w:hAnsi="仿宋_GB2312" w:cs="仿宋_GB2312" w:hint="eastAsia" w:eastAsia="仿宋_GB2312"/>
          <w:sz w:val="32"/>
          <w:szCs w:val="32"/>
          <w:lang w:val="zh-TW"/>
        </w:rPr>
        <w:t>对新产业、新业态实行科学有效监管，</w:t>
      </w:r>
      <w:r>
        <w:rPr>
          <w:rFonts w:ascii="仿宋_GB2312" w:hAnsi="仿宋_GB2312" w:cs="仿宋_GB2312" w:hint="eastAsia" w:eastAsia="仿宋_GB2312"/>
          <w:sz w:val="32"/>
          <w:szCs w:val="32"/>
        </w:rPr>
        <w:t>优化经常性涉企服务，依法保护各类市场主体合法权益，打造与首都城市战略定位相匹配的国际一流营商环境。</w:t>
      </w:r>
    </w:p>
    <w:p>
      <w:pPr>
        <w:pStyle w:val="Normal"/>
        <w:suppressAutoHyphens w:val="false"/>
        <w:overflowPunct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综合示范区建设应当加强投资促进工作，建立以区为主体、市区协同的投资促进工作机制，统筹招商引资资源，创新招商引资模式，完善招商引资项目库，强化重大项目服务，健全重大项目的协调调度、服务管家、政企对接、督查评价等工作机制，保障项目顺利落地，营造稳定、公平、透明、可预期的投资环境。</w:t>
      </w:r>
    </w:p>
    <w:p>
      <w:pPr>
        <w:pStyle w:val="Normal"/>
        <w:suppressAutoHyphens w:val="false"/>
        <w:overflowPunct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市、区人民政府及其有关部门应当依照国务院系列批复做好综合示范区建设的组织实施工作，立足发展目标，强化协调配合，分阶段、分领域、分区域推进各项措施落实落地；建立常态化政策发布机制，搭建政策解读和宣传平台；建立常态化沟通机制，搭建与企事业单位、社会团体交流平台；对标国际高标准经贸规则，探索制度创新和实践，强化系统化、集成化制度创新。</w:t>
      </w:r>
    </w:p>
    <w:p>
      <w:pPr>
        <w:pStyle w:val="Normal"/>
        <w:suppressAutoHyphens w:val="false"/>
        <w:overflowPunct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市人民政府有关部门、各区人民政府应当及时总结提炼综合示范区建设改革经验，形成创新实践案例；市级有关部门应当加强与海关、边检、金融管理、税务等国家有关部门驻京机构的沟通协调，及时提出相关领域改革创新举措，积极争取国家授权，在综合示范区建设中先行先试。</w:t>
      </w:r>
    </w:p>
    <w:p>
      <w:pPr>
        <w:pStyle w:val="Normal"/>
        <w:suppressAutoHyphens w:val="false"/>
        <w:overflowPunct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十二、市、区人民政府及其有关部门应当牢固树立总体国家安全观，强化底线思维和风险意识，加强安全评估和风险防控，落实安全审查制度，有效防范、化解、处置各类风险，为综合示范区建设提供安全保障。</w:t>
      </w:r>
    </w:p>
    <w:p>
      <w:pPr>
        <w:pStyle w:val="Normal"/>
        <w:suppressAutoHyphens w:val="false"/>
        <w:overflowPunct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十三、本市建立综合示范区建设成效评价体系，定期对市级有关部门、各区人民政府综合示范区建设成效进行评价。</w:t>
      </w:r>
    </w:p>
    <w:p>
      <w:pPr>
        <w:pStyle w:val="Normal"/>
        <w:suppressAutoHyphens w:val="false"/>
        <w:overflowPunct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四、市人民政府应当及时研究综合示范区建设遇到的新情况、新问题，不断调整优化管理措施，重大事项按照国务院对本市服务业扩大开放相关批复的要求请示报告；需要在特定区域暂时调整或者停止适用本市地方性法规部分规定的，可以提请市人大常委会作出决定；需要先行制定相关管理措施的，按照规定程序办理。</w:t>
      </w:r>
    </w:p>
    <w:p>
      <w:pPr>
        <w:pStyle w:val="Normal"/>
        <w:suppressAutoHyphens w:val="false"/>
        <w:overflowPunct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五、综合示范区建设应当发挥人民法院的审判职能作用，发挥北京知识产权法院、北京金融法院、北京互联网法院，以及北京国际商事法庭、北京破产法庭、重点园区巡回审判庭等审判资源优势，营造良好的司法环境；完善反垄断和反不正当竞争的行政执法和司法衔接机制，营造良好的公平竞争环境；建立健全涉外商事案件专业调解前置机制，推动一站式多元解纷中心建设，实现调解、仲裁、涉外诉讼、执行等有机衔接；支持国内外商事仲裁机构、国际商事调解组织发展，打造国际商事纠纷解决优选地，构建多元、高效、便捷的国际商事纠纷解决体系。</w:t>
      </w:r>
    </w:p>
    <w:p>
      <w:pPr>
        <w:pStyle w:val="Normal"/>
        <w:suppressAutoHyphens w:val="false"/>
        <w:overflowPunct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六、号召本市企事业单位、社会团体和全体市民关心、支持综合示范区建设，积极建言献策，发挥各自优势，参与综合示范区建设工作；大力传承和弘扬北京冬奥精神，切实把成功办奥形成的宝贵物质和精神财富转化为综合示范区建设的强大动力。</w:t>
      </w:r>
    </w:p>
    <w:p>
      <w:pPr>
        <w:pStyle w:val="Normal"/>
        <w:suppressAutoHyphens w:val="false"/>
        <w:overflowPunct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本决定自公布之日起施行。</w:t>
      </w:r>
    </w:p>
    <w:sectPr>
      <w:footerReference w:type="even" r:id="rId2"/>
      <w:footerReference w:type="default" r:id="rId3"/>
      <w:type w:val="nextPage"/>
      <w:pgSz w:w="11906" w:h="16838"/>
      <w:pgMar w:left="1418" w:right="1418" w:gutter="0" w:header="0" w:top="209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Times New Roman">
    <w:charset w:val="00" w:characterSet="windows-1252"/>
    <w:family w:val="roman"/>
    <w:pitch w:val="default"/>
  </w:font>
  <w:font w:name="宋体">
    <w:altName w:val="方正书宋_GBK"/>
    <w:charset w:val="86"/>
    <w:family w:val="auto"/>
    <w:pitch w:val="default"/>
  </w:font>
  <w:font w:name="Liberation Sans">
    <w:altName w:val="Arial"/>
    <w:charset w:val="00" w:characterSet="windows-1252"/>
    <w:family w:val="swiss"/>
    <w:pitch w:val="default"/>
  </w:font>
  <w:font w:name="仿宋_GB2312">
    <w:charset w:val="86"/>
    <w:family w:val="modern"/>
    <w:pitch w:val="default"/>
  </w:font>
  <w:font w:name="仿宋">
    <w:altName w:val="方正仿宋_GBK"/>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rPr/>
    </w:pPr>
    <w:r>
      <w:rPr>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w:t>
    </w:r>
  </w:p>
</w:ftr>
</file>

<file path=word/settings.xml><?xml version="1.0" encoding="utf-8"?>
<w:settings xmlns:w="http://schemas.openxmlformats.org/wordprocessingml/2006/main">
  <w:zoom w:percent="100"/>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suppressAutoHyphens w:val="true"/>
      <w:bidi w:val="0"/>
      <w:jc w:val="both"/>
    </w:pPr>
    <w:rPr>
      <w:rFonts w:ascii="Calibri;DejaVu Sans" w:hAnsi="Calibri;DejaVu Sans" w:eastAsia="宋体;方正书宋_GBK" w:cs="Calibri;DejaVu Sans"/>
      <w:color w:val="auto"/>
      <w:kern w:val="2"/>
      <w:sz w:val="21"/>
      <w:szCs w:val="24"/>
      <w:lang w:bidi="ar-SA" w:val="en-US" w:eastAsia="zh-CN"/>
    </w:rPr>
  </w:style>
  <w:style w:type="character" w:styleId="Style14">
    <w:name w:val="默认段落字体"/>
    <w:qFormat/>
    <w:rPr>
      <w:rFonts w:ascii="Times New Roman" w:hAnsi="Times New Roman" w:eastAsia="宋体;方正书宋_GBK" w:cs="Times New Roman"/>
    </w:rPr>
  </w:style>
  <w:style w:type="character" w:styleId="Char">
    <w:name w:val="正文文本缩进 Char"/>
    <w:qFormat/>
    <w:rPr>
      <w:rFonts w:ascii="Calibri;DejaVu Sans" w:hAnsi="Calibri;DejaVu Sans" w:eastAsia="宋体;方正书宋_GBK" w:cs="Times New Roman"/>
      <w:kern w:val="2"/>
      <w:sz w:val="21"/>
      <w:szCs w:val="24"/>
    </w:rPr>
  </w:style>
  <w:style w:type="character" w:styleId="Char1">
    <w:name w:val="批注框文本 Char"/>
    <w:qFormat/>
    <w:rPr>
      <w:rFonts w:ascii="Calibri;DejaVu Sans" w:hAnsi="Calibri;DejaVu Sans" w:eastAsia="宋体;方正书宋_GBK" w:cs="Times New Roman"/>
      <w:kern w:val="2"/>
      <w:sz w:val="18"/>
      <w:szCs w:val="18"/>
    </w:rPr>
  </w:style>
  <w:style w:type="character" w:styleId="Char2">
    <w:name w:val="页脚 Char"/>
    <w:qFormat/>
    <w:rPr>
      <w:kern w:val="2"/>
      <w:sz w:val="18"/>
      <w:szCs w:val="24"/>
    </w:rPr>
  </w:style>
  <w:style w:type="character" w:styleId="HTMLChar">
    <w:name w:val="HTML 预设格式 Char"/>
    <w:qFormat/>
    <w:rPr>
      <w:rFonts w:ascii="宋体;方正书宋_GBK" w:hAnsi="宋体;方正书宋_GBK" w:eastAsia="宋体;方正书宋_GBK" w:cs="Times New Roman"/>
      <w:sz w:val="24"/>
      <w:szCs w:val="24"/>
    </w:rPr>
  </w:style>
  <w:style w:type="character" w:styleId="1">
    <w:name w:val="默认段落字体1"/>
    <w:qFormat/>
    <w:rPr>
      <w:rFonts w:ascii="Times New Roman" w:hAnsi="Times New Roman" w:eastAsia="宋体;方正书宋_GBK" w:cs="Times New Roman"/>
    </w:rPr>
  </w:style>
  <w:style w:type="paragraph" w:styleId="Heading">
    <w:name w:val="Heading"/>
    <w:basedOn w:val="Normal"/>
    <w:next w:val="BodyText"/>
    <w:qFormat/>
    <w:pPr>
      <w:keepNext w:val="true"/>
      <w:widowControl w:val="false"/>
      <w:suppressAutoHyphens w:val="true"/>
      <w:spacing w:before="240" w:after="120"/>
    </w:pPr>
    <w:rPr>
      <w:rFonts w:ascii="Liberation Sans;华文中宋" w:hAnsi="Liberation Sans;华文中宋" w:eastAsia="Noto Sans CJK SC Regular" w:cs="Noto Sans CJK SC Regular"/>
      <w:sz w:val="28"/>
      <w:szCs w:val="28"/>
    </w:rPr>
  </w:style>
  <w:style w:type="paragraph" w:styleId="BodyText">
    <w:name w:val="Body Text"/>
    <w:basedOn w:val="Normal"/>
    <w:next w:val="5"/>
    <w:pPr>
      <w:spacing w:lineRule="auto" w:line="276" w:before="0" w:after="140"/>
    </w:pPr>
    <w:rPr>
      <w:rFonts w:ascii="Times New Roman" w:hAnsi="Times New Roman" w:eastAsia="宋体;方正书宋_GBK" w:cs="Times New Roman"/>
    </w:rPr>
  </w:style>
  <w:style w:type="paragraph" w:styleId="List">
    <w:name w:val="List"/>
    <w:basedOn w:val="BodyText"/>
    <w:pPr/>
    <w:rPr>
      <w:rFonts w:ascii="Times New Roman" w:hAnsi="Times New Roman" w:eastAsia="宋体;方正书宋_GBK" w:cs="Times New Roman"/>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rFonts w:ascii="Times New Roman" w:hAnsi="Times New Roman" w:eastAsia="宋体;方正书宋_GBK" w:cs="Times New Roman"/>
    </w:rPr>
  </w:style>
  <w:style w:type="paragraph" w:styleId="5">
    <w:name w:val="索引 5"/>
    <w:next w:val="Normal"/>
    <w:qFormat/>
    <w:pPr>
      <w:widowControl w:val="false"/>
      <w:bidi w:val="0"/>
      <w:ind w:firstLineChars="0" w:firstLine="0" w:startChars="800" w:endChars="0" w:end="0"/>
      <w:jc w:val="both"/>
    </w:pPr>
    <w:rPr>
      <w:rFonts w:ascii="Calibri;DejaVu Sans" w:hAnsi="Calibri;DejaVu Sans" w:eastAsia="宋体;方正书宋_GBK" w:cs="黑体"/>
      <w:color w:val="auto"/>
      <w:kern w:val="2"/>
      <w:sz w:val="21"/>
      <w:szCs w:val="22"/>
      <w:lang w:bidi="ar-SA" w:val="en-US" w:eastAsia="zh-CN"/>
    </w:rPr>
  </w:style>
  <w:style w:type="paragraph" w:styleId="Style15">
    <w:name w:val="题注"/>
    <w:basedOn w:val="Normal"/>
    <w:next w:val="Normal"/>
    <w:qFormat/>
    <w:pPr>
      <w:widowControl w:val="false"/>
      <w:suppressLineNumbers/>
      <w:suppressAutoHyphens w:val="true"/>
      <w:spacing w:before="120" w:after="120"/>
    </w:pPr>
    <w:rPr>
      <w:rFonts w:ascii="Times New Roman" w:hAnsi="Times New Roman" w:eastAsia="宋体;方正书宋_GBK" w:cs="Times New Roman"/>
      <w:i/>
      <w:iCs/>
      <w:sz w:val="24"/>
      <w:szCs w:val="24"/>
    </w:rPr>
  </w:style>
  <w:style w:type="paragraph" w:styleId="BodyTextIndent">
    <w:name w:val="Body Text Indent"/>
    <w:basedOn w:val="Normal"/>
    <w:pPr>
      <w:spacing w:before="0" w:after="120"/>
      <w:ind w:firstLineChars="0" w:firstLine="0" w:startChars="200" w:endChars="0" w:end="0"/>
    </w:pPr>
    <w:rPr/>
  </w:style>
  <w:style w:type="paragraph" w:styleId="TOC3">
    <w:name w:val="toc 3"/>
    <w:basedOn w:val="Normal"/>
    <w:next w:val="Normal"/>
    <w:pPr>
      <w:spacing w:lineRule="exact" w:line="600"/>
      <w:ind w:firstLineChars="0" w:firstLine="0" w:startChars="200" w:endChars="0" w:end="0"/>
      <w:jc w:val="start"/>
    </w:pPr>
    <w:rPr>
      <w:rFonts w:ascii="Times New Roman" w:hAnsi="Times New Roman" w:eastAsia="仿宋_GB2312" w:cs="Times New Roman"/>
      <w:sz w:val="32"/>
    </w:rPr>
  </w:style>
  <w:style w:type="paragraph" w:styleId="Style16">
    <w:name w:val="纯文本"/>
    <w:basedOn w:val="Normal"/>
    <w:qFormat/>
    <w:pPr/>
    <w:rPr>
      <w:rFonts w:ascii="宋体;方正书宋_GBK" w:hAnsi="宋体;方正书宋_GBK" w:cs="Courier New;DejaVu Sans"/>
      <w:szCs w:val="21"/>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方正书宋_GBK" w:cs="Times New Roman"/>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eastAsia="宋体;方正书宋_GBK" w:cs="Times New Roman"/>
      <w:sz w:val="1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方正书宋_GBK" w:hAnsi="宋体;方正书宋_GBK" w:cs="宋体;方正书宋_GBK" w:hint="eastAsia"/>
      <w:kern w:val="0"/>
      <w:sz w:val="24"/>
    </w:rPr>
  </w:style>
  <w:style w:type="paragraph" w:styleId="Style18">
    <w:name w:val="普通(网站)"/>
    <w:basedOn w:val="Normal"/>
    <w:qFormat/>
    <w:pPr>
      <w:jc w:val="start"/>
    </w:pPr>
    <w:rPr>
      <w:rFonts w:ascii="Times New Roman" w:hAnsi="Times New Roman" w:eastAsia="宋体;方正书宋_GBK" w:cs="Times New Roman"/>
      <w:kern w:val="0"/>
      <w:sz w:val="24"/>
      <w:szCs w:val="24"/>
    </w:rPr>
  </w:style>
  <w:style w:type="paragraph" w:styleId="Style21">
    <w:name w:val="_Style 2"/>
    <w:qFormat/>
    <w:pPr>
      <w:widowControl w:val="false"/>
      <w:bidi w:val="0"/>
      <w:spacing w:lineRule="atLeast" w:line="351"/>
      <w:ind w:firstLine="623" w:start="0" w:end="0"/>
      <w:jc w:val="both"/>
      <w:textAlignment w:val="baseline"/>
    </w:pPr>
    <w:rPr>
      <w:rFonts w:ascii="Times New Roman" w:hAnsi="Times New Roman" w:eastAsia="仿宋_GB2312" w:cs="Times New Roman"/>
      <w:color w:val="000000"/>
      <w:kern w:val="2"/>
      <w:sz w:val="31"/>
      <w:szCs w:val="20"/>
      <w:lang w:bidi="ar-SA" w:val="en-US" w:eastAsia="zh-CN"/>
    </w:rPr>
  </w:style>
  <w:style w:type="paragraph" w:styleId="2">
    <w:name w:val="正文空2字"/>
    <w:basedOn w:val="Normal"/>
    <w:qFormat/>
    <w:pPr>
      <w:suppressAutoHyphens w:val="false"/>
      <w:snapToGrid w:val="false"/>
      <w:spacing w:lineRule="exact" w:line="560"/>
      <w:ind w:firstLineChars="200" w:startChars="0" w:start="0" w:endChars="0" w:end="0"/>
      <w:jc w:val="start"/>
    </w:pPr>
    <w:rPr>
      <w:rFonts w:ascii="仿宋_GB2312" w:hAnsi="仿宋_GB2312" w:eastAsia="仿宋_GB2312" w:cs="仿宋_GB2312"/>
      <w:sz w:val="32"/>
      <w:szCs w:val="32"/>
      <w:lang w:val="zh-TW"/>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2018-12-04T01:47:00Z</dcterms:created>
  <dc:creator>bjrd</dc:creator>
  <dc:description/>
  <dc:language>en-US</dc:language>
  <cp:lastModifiedBy>bjrd</cp:lastModifiedBy>
  <cp:lastPrinted>2022-05-25T22:50:00Z</cp:lastPrinted>
  <dcterms:modified xsi:type="dcterms:W3CDTF">2022-06-20T18:03:17Z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ef1a820a1a0d47ecb9cc0c4942a3f9e9</vt:lpwstr>
  </property>
  <property fmtid="{D5CDD505-2E9C-101B-9397-08002B2CF9AE}" pid="3" name="KSOProductBuildVer">
    <vt:lpwstr>2052-11.8.2.10386</vt:lpwstr>
  </property>
</Properties>
</file>