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8A9FF07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焦作市人民代表大会常务委员会关于修改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《焦作市国土空间规划管理条例》的决定</w:t>
      </w:r>
    </w:p>
    <w:p w14:paraId="1E9775E8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（2026年2月4日焦作市第十四届人民代表大会常务委员会第二十八次会议通过　2026年4月1日河南省第十四届人民代表大会常务委员会第二十三次会议批准）</w:t>
      </w:r>
    </w:p>
    <w:p w14:paraId="757D2762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焦作市第十四届人民代表大会常务委员会第二十八次会议决定对《焦作市国土空间规划管理条例》作如下修改：</w:t>
      </w:r>
    </w:p>
    <w:p w14:paraId="47089E3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将第十四条第一款第一项修改为：“生态修复、耕地保护等专项规划，由市、县（市）自然资源和规划主管部门会同有关部门组织编制，报同级人民政府审批；地质灾害防治、矿产资源专项规划编制、审批等程序，按照国家和省有关规定执行”。</w:t>
      </w:r>
    </w:p>
    <w:p w14:paraId="463D793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p w14:paraId="04F08C6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《焦作市国土空间规划管理条例》根据本决定作相应修改，重新公布。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1F5310F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304</Words>
  <Characters>310</Characters>
  <Lines>87</Lines>
  <Paragraphs>24</Paragraphs>
  <TotalTime>131</TotalTime>
  <ScaleCrop>false</ScaleCrop>
  <LinksUpToDate>false</LinksUpToDate>
  <CharactersWithSpaces>311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2026-07-08T03:00:06Z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