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Cs/>
          <w:sz w:val="44"/>
          <w:szCs w:val="44"/>
        </w:rPr>
      </w:pPr>
      <w:r>
        <w:rPr>
          <w:rFonts w:ascii="方正小标宋_GBK;Arial Unicode MS" w:hAnsi="方正小标宋_GBK;Arial Unicode MS" w:cs="方正小标宋_GBK;Arial Unicode MS" w:hint="eastAsia" w:eastAsia="方正小标宋_GBK;Arial Unicode MS"/>
          <w:bCs/>
          <w:sz w:val="44"/>
          <w:szCs w:val="44"/>
        </w:rPr>
        <w:t>贵州省风景名胜区条例</w:t>
      </w:r>
    </w:p>
    <w:p>
      <w:pPr>
        <w:pStyle w:val="Normal"/>
        <w:spacing w:lineRule="exact" w:line="600"/>
        <w:ind w:firstLineChars="200" w:startChars="0" w:start="0" w:endChars="0" w:end="0"/>
        <w:rPr>
          <w:rFonts w:ascii="楷体_GB2312" w:hAnsi="楷体_GB2312" w:eastAsia="楷体_GB2312" w:hint="eastAsia"/>
          <w:bCs/>
          <w:sz w:val="44"/>
          <w:szCs w:val="44"/>
        </w:rPr>
      </w:pP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日贵州省第十届人民代表大会常务委员会第二十九次会议通过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eastAsia="楷体_GB2312" w:hint="eastAsia" w:ascii="楷体_GB2312" w:hAnsi="楷体_GB2312"/>
          <w:sz w:val="32"/>
          <w:szCs w:val="32"/>
        </w:rPr>
        <w:t>)</w:t>
      </w:r>
    </w:p>
    <w:p>
      <w:pPr>
        <w:pStyle w:val="Normal"/>
        <w:spacing w:lineRule="exact" w:line="600" w:before="312" w:after="312"/>
        <w:jc w:val="center"/>
        <w:rPr>
          <w:rFonts w:ascii="仿宋_GB2312" w:hAnsi="仿宋_GB2312" w:eastAsia="仿宋_GB2312"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为了加强对风景名胜区的管理，有效保护和合理利用风景名胜资源，促进经济社会的可持续发展，根据《风景名胜区条例》和有关法律、法规的规定，结合我省实际，制定本条例。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 xml:space="preserve"> 本省行政区域内风景名胜区的设立、规划、保护、建设、利用和管理，适用本条例。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本条例所称风景名胜区，是指具有观赏、文化或者科学价值，自然景观、人文景观比较集中，环境优美，可供游览或者进行科学、文化活动的区域。</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风景名胜区划分为国家级风景名胜区和省级风景名胜区。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然景观和人文景观能够反映重要自然变化过程和重大历史文化发展过程，基本处于自然状态或者保持历史原貌，具有国家代表性的，可以申请设立国家级风景名胜区；具有区域代表性的，可以申请设立省级风景名胜区。</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设立国家级风景名胜区，由省人民政府提出申请，按照规定报请国务院批准公布。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设立省级风景名胜区，由县级人民政府提出申请，市、州人民政府审核，省人民政府建设行政主管部门会同其他有关部门组织论证，提出审查意见，报省人民政府批准公布。</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因设立风景名胜区对风景名胜区内的土地、森林等自然资源和房屋等财产的所有权人、使用权人造成损失的，应当依法给予补偿。具体办法由省人民政府制定。</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 xml:space="preserve"> 县级以上人民政府应当将风景名胜区事业纳入国民经济和社会发展规划，正确处理经济发展与保护风景名胜资源及自然环境永续利用之间的关系，实现环境效益、社会效益与经济效益的统一与和谐发展。</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 xml:space="preserve"> 省人民政府建设行政主管部门负责全省风景名胜区的监督管理工作。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县级以上人民政府建设行政主管部门负责本行政区域内风景名胜区的监督管理工作。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县级以上人民政府其他有关部门按照各自的职责分工，负责风景名胜区的有关监督管理工作。</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县级以上人民政府应当在风景名胜区设立风景名胜区管理机构，负责风景名胜区的保护、利用和统一管理工作。</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规  划</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 xml:space="preserve"> 风景名胜区经批准公布后，应当按照国家有关规定编制风景名胜区规划。风景名胜区规划分为总体规划和详细规划。</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国家级风景名胜区规划由省人民政府建设行政主管部门组织编制，省级风景名胜区规划由县级人民政府组织编制，跨行政区域的省级风景名胜区规划由所在地县级人民政府共同组织编制或者共同的上一级人民政府组织编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风景名胜区规划编制应当按照国家有关规定选择具有相应资质等级的规划设计单位承担。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级风景名胜区总体规划，应当采用招标等公平竞争的方式选择持甲级规划设计证书的单位编制；国家级风景名胜区详细规划和省级风景名胜区规划，应当采用招标等公平竞争的方式选择持乙级以上规划设计证书的单位编制。</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编制风景名胜区规划应当遵循以下原则：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（一）贯彻执行有关保护和利用风景名胜资源的法律法规，坚持保护优先、开发服从保护，正确处理保护与利用、远期与近期、整体与局部的关系；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（二）保持自然景观和人文景观的风貌，维护景区生态平衡，各项建设设施应当与景区环境相协调；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（三）风景名胜区的发展规模、利用程度和各项建设标准、定额指标，应当同地方经济发展水平基本适应，并符合长远发展的需要；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（四）科学评价风景名胜资源的特点和价值，突出风景名胜区的特色。</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风景名胜区规划应当与相关规划相协调。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风景名胜区内的村镇规划，应当服从风景名胜区规划。</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国家级风景名胜区规划的审批程序按照国家有关规定执行。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省级风景名胜区总体规划经市、州人民政府审核后，由省人民政府审批，报国务院建设行政主管部门备案；省级风景名胜区详细规划由省人民政府建设行政主管部门审批。</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第十四条 </w:t>
      </w:r>
      <w:r>
        <w:rPr>
          <w:rFonts w:ascii="仿宋_GB2312" w:hAnsi="仿宋_GB2312" w:hint="eastAsia" w:eastAsia="仿宋_GB2312"/>
          <w:sz w:val="32"/>
          <w:szCs w:val="32"/>
        </w:rPr>
        <w:t xml:space="preserve"> 依法批准的风景名胜区规划应当严格执行，任何单位和个人不得擅自修改。确需调整或者修改的，应当按照国家规定执行。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风景名胜区规划未经批准的，不得在风景名胜区内进行各类建设活动和实施特许经营。</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保  护</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风景名胜区管理机构应当建立健全保护风景名胜资源的各项管理制度，落实保护责任和措施。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任何单位和个人，应当保护风景名胜资源、自然环境和各项设施，自觉维护区内环境卫生和公共秩序，遵守风景名胜区的管理规定，有权检举侵占风景名胜区土地、破坏风景名胜资源、污染环境等违法行为。</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风景名胜区管理机构应当对风景名胜区内的古建筑、民族特色建筑、古园林、历史遗址、古树名木等风景名胜资源进行调查、鉴定和登记，建立档案，设立标识，设置保护说明。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风景名胜区管理机构应当根据风景名胜区的特点，保护民族民间传统文化。</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风景名胜区管理机构应当依法保护风景名胜区内的文物。</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风景名胜区核心景区内禁止进行与风景名胜资源保护无关的建设。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禁止出让或者变相出让风景名胜资源及核心景区土地。</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风景名胜区的自然水系，应当按照风景名胜区规划以及相关规划予以保护。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任何单位和个人不得围填堵塞水面，不得超过水环境容量使用水体。不得擅自改变现状或者向水体排放废水、倾倒垃圾和其他污染物。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风景名胜区内生产生活项目排放废物，应当达到国家规定的排放标准，并按照指定的地点排放。</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风景名胜区管理机构应当做好风景名胜区生态环境保护工作，保护动植物生存环境。</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 xml:space="preserve"> 经批准在风景名胜区进行建设活动的，建设单位、施工单位必须采取有效措施保护周围景物、林草、植被、水体和地形地貌，不得造成污染和破坏。</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风景名胜区内禁止进行下列活动：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（一）非法占用风景名胜资源或者风景名胜区土地，擅自改变风景名胜资源性质或者风景名胜区土地使用性质；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（二）开山、采石、开矿、开荒、修坟立碑等破坏景观、植被和地形地貌的活动；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（三）修建破坏景观、污染环境、妨碍游览和危害风景名胜区安全的建筑物、构筑物、设施；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（四）擅自建造、设立宗教活动场所或者塑造佛像、神像等；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（五）砍伐、毁坏风景林木，采挖花草苗木，在游览区及保护区内砍柴、放牧；</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（六）损坏景物、公共设施，在景物或者设施上刻划、涂污；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（七）在禁火区内吸烟、燃放烟花爆竹、用火；</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（八）乱扔垃圾；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（九）其他破坏风景名胜资源、景观的行为。</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风景名胜区已有的污染环境、破坏景物景观、影响风景名胜资源保护、妨碍游览活动的建筑物、构筑物、设施，应当按照风景名胜区规划逐步拆除或者迁出。</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未经检疫部门依法检验的动植物，不得引入风景名胜区。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风景名胜区管理机构应当对风景名胜区有害外来物种进行预防、治理。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建  设</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风景名胜区内的各项建设应当符合风景名胜区规划。风景名胜区内建设项目的选址、布局和建筑物的造型、风格、色调、高度、体量等应当与周围景物和环境相协调，避免风景名胜区人工化和城市化。</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单位或者个人在景区以外的风景名胜区内使用土地，应当依法办理相关审批手续。审批机关应当征得风景名胜区管理机构同意后方可批准。其中属于经营性的国有土地应当按照国家有关规定实行招标、拍卖和挂牌出让。</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风景名胜区内建设项目实行建设项目选址意见书、建设用地规划许可证、建设工程规划许可证和环境影响评价制度。</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 xml:space="preserve"> 修建索道、缆车等涉及公共安全和资源保护与利用的重大建设工程，其项目选址，在国家级风景名胜区的，应当经风景名胜区管理机构审核后，由省人民政府建设行政主管部门审查，按照国家有关规定核发选址意见书；在省级风景名胜区的，应当经风景名胜区管理机构审核后，报省人民政府建设行政主管部门核发选址意见书。</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建设单位或者个人应当持经批准的建设项目选址意见书、设计方案和建设项目的有关批准文件，向风景名胜区管理机构申请定点，核定用地位置和界限后，依法办理有关审批手续。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风景名胜区管理机构应当在</w:t>
      </w:r>
      <w:r>
        <w:rPr>
          <w:rFonts w:eastAsia="仿宋_GB2312" w:hint="eastAsia" w:ascii="仿宋_GB2312" w:hAnsi="仿宋_GB2312"/>
          <w:sz w:val="32"/>
          <w:szCs w:val="32"/>
        </w:rPr>
        <w:t>10</w:t>
      </w:r>
      <w:r>
        <w:rPr>
          <w:rFonts w:ascii="仿宋_GB2312" w:hAnsi="仿宋_GB2312" w:hint="eastAsia" w:eastAsia="仿宋_GB2312"/>
          <w:sz w:val="32"/>
          <w:szCs w:val="32"/>
        </w:rPr>
        <w:t>日内完成定点工作。</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建设单位或者个人在完善基本建设程序后，申请办理开工手续，经风景名胜区管理机构现场验线施工。</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风景名胜区内的临时建设活动，应当严格控制，未经批准不得进行临时建设。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确需进行临时建设的，应当经风景名胜区管理机构审核后，依法办理审批手续。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风景名胜区内的临时性建筑物使用期限届满，该建筑物所有权人应当自届满之日起</w:t>
      </w:r>
      <w:r>
        <w:rPr>
          <w:rFonts w:eastAsia="仿宋_GB2312" w:hint="eastAsia" w:ascii="仿宋_GB2312" w:hAnsi="仿宋_GB2312"/>
          <w:sz w:val="32"/>
          <w:szCs w:val="32"/>
        </w:rPr>
        <w:t>30</w:t>
      </w:r>
      <w:r>
        <w:rPr>
          <w:rFonts w:ascii="仿宋_GB2312" w:hAnsi="仿宋_GB2312" w:hint="eastAsia" w:eastAsia="仿宋_GB2312"/>
          <w:sz w:val="32"/>
          <w:szCs w:val="32"/>
        </w:rPr>
        <w:t>日内拆除。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禁止在批准的临时用地上建设永久性建筑物、构筑物和其他设施。</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管  理</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风景名胜区管理机构依法行使下列管理职能：</w:t>
      </w:r>
    </w:p>
    <w:p>
      <w:pPr>
        <w:pStyle w:val="Normal"/>
        <w:spacing w:lineRule="exact" w:line="600"/>
        <w:ind w:firstLineChars="200" w:startChars="0" w:start="0" w:endChars="0" w:end="0"/>
        <w:rPr/>
      </w:pPr>
      <w:r>
        <w:rPr>
          <w:rFonts w:ascii="仿宋_GB2312" w:hAnsi="仿宋_GB2312" w:hint="eastAsia" w:eastAsia="仿宋_GB2312"/>
          <w:sz w:val="32"/>
          <w:szCs w:val="32"/>
        </w:rPr>
        <w:t>（一）执行相关法律、法规，制定相应管理制度，协助编制风景名胜区规划；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（二）依据风景名胜区规划审查建设项目，监督建设活动；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（三）建设、维护、管理风景名胜区基础设施，实施项目特许经营管理；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（四）保护风景名胜资源、生态环境及生物多样性，根据风景名胜区规划，维护风景名胜区的自然景观和人文景观，开发利用风景名胜资源；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（五）监督管理风景名胜区的游览活动、经营活动、环境卫生和饮食服务卫生；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（六）设立风景名胜区管理机构的人民政府依法授予的其他职能。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风景名胜区内宗教活动场所的管理</w:t>
      </w:r>
      <w:r>
        <w:rPr>
          <w:rFonts w:eastAsia="仿宋_GB2312" w:hint="eastAsia" w:ascii="仿宋_GB2312" w:hAnsi="仿宋_GB2312"/>
          <w:sz w:val="32"/>
          <w:szCs w:val="32"/>
        </w:rPr>
        <w:t>,</w:t>
      </w:r>
      <w:r>
        <w:rPr>
          <w:rFonts w:ascii="仿宋_GB2312" w:hAnsi="仿宋_GB2312" w:hint="eastAsia" w:eastAsia="仿宋_GB2312"/>
          <w:sz w:val="32"/>
          <w:szCs w:val="32"/>
        </w:rPr>
        <w:t>依照国家有关宗教活动场所管理的规定执行。</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进入风景名胜区的门票由风景名胜区管理机构负责出售。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门票收入实行收支两条线管理，专项用于风景名胜资源的保护和管理以及风景名胜区内财产的所有权人、使用权人损失的补偿。</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风景名胜区管理机构应当建立健全安全预警、防火、救援制度和安全管理制度，完善安全管理设施，严防火灾和其他游览事故发生。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在险要部位、危险地段、繁忙道口应当设置安全保护设施和警示标志，并定期进行检查维修；及时排除危岩险石及其他安全隐患。</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在风景名胜区内从事非特许经营项目经营活动的单位和个人，应当经风景名胜区管理机构审核，按照有关规定办理相关手续后，在风景名胜区管理机构指定地点亮照营业。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禁止在风景名胜区内擅自设置、张贴广告，占道或者乱设摊点。</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风景名胜区管理机构应当按照风景名胜区规划确定的游览接待容量，有计划地安排游览活动。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进入风景名胜区的车辆、船只等交通工具，应当按照规定的线路行驶，在规定的地点停泊。</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摄影服务摊点不得在景物周围圈占拍摄位置，不得向自行拍摄的游客收取费用。</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鼓励风景名胜区建立讲解员制度。</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风景名胜区管理机构的执法人员应当经培训、考核合格后持证上岗，严格执法。</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特许经营</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本条例所称风景名胜区内项目特许经营，是指公民、法人或者其他组织按照法定程序、标准和条件，在一定期限和范围内，有偿取得从事风景名胜区内整体或者单个项目投资、经营权利的活动。</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整体项目特许经营期限最长为</w:t>
      </w:r>
      <w:r>
        <w:rPr>
          <w:rFonts w:eastAsia="仿宋_GB2312" w:hint="eastAsia" w:ascii="仿宋_GB2312" w:hAnsi="仿宋_GB2312"/>
          <w:sz w:val="32"/>
          <w:szCs w:val="32"/>
        </w:rPr>
        <w:t>20</w:t>
      </w:r>
      <w:r>
        <w:rPr>
          <w:rFonts w:ascii="仿宋_GB2312" w:hAnsi="仿宋_GB2312" w:hint="eastAsia" w:eastAsia="仿宋_GB2312"/>
          <w:sz w:val="32"/>
          <w:szCs w:val="32"/>
        </w:rPr>
        <w:t>年，单个项目特许经营期限最长为</w:t>
      </w:r>
      <w:r>
        <w:rPr>
          <w:rFonts w:eastAsia="仿宋_GB2312" w:hint="eastAsia" w:ascii="仿宋_GB2312" w:hAnsi="仿宋_GB2312"/>
          <w:sz w:val="32"/>
          <w:szCs w:val="32"/>
        </w:rPr>
        <w:t>15</w:t>
      </w:r>
      <w:r>
        <w:rPr>
          <w:rFonts w:ascii="仿宋_GB2312" w:hAnsi="仿宋_GB2312" w:hint="eastAsia" w:eastAsia="仿宋_GB2312"/>
          <w:sz w:val="32"/>
          <w:szCs w:val="32"/>
        </w:rPr>
        <w:t>年。</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特许经营者在特许经营期内更新、改造和新建的人文景观以及其他设施，在特许经营期满或者终止后，无偿归国家所有。</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第四十二条 </w:t>
      </w:r>
      <w:r>
        <w:rPr>
          <w:rFonts w:ascii="仿宋_GB2312" w:hAnsi="仿宋_GB2312" w:hint="eastAsia" w:eastAsia="仿宋_GB2312"/>
          <w:sz w:val="32"/>
          <w:szCs w:val="32"/>
        </w:rPr>
        <w:t xml:space="preserve"> 风景名胜区管理机构应当根据风景名胜区规划，制定项目特许经营方案。</w:t>
      </w:r>
    </w:p>
    <w:p>
      <w:pPr>
        <w:pStyle w:val="Normal"/>
        <w:spacing w:lineRule="exact" w:line="60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风景名胜区内项目特许经营权投标人应当具备以下条件：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（一）法定的投标人主体资格；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（二）符合特许经营方案的投资、经营方案；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（三）技术、经营负责人有相应从业经历和业绩，其他关键岗位人员有相应的从业能力；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（四）相应的资金、设备和设施等；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（五）良好的诚信记录。</w:t>
      </w:r>
    </w:p>
    <w:p>
      <w:pPr>
        <w:pStyle w:val="Normal"/>
        <w:spacing w:lineRule="exact" w:line="60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特许经营权的授予程序：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（一）风景名胜区管理机构根据特许经营方案公布特许经营项目、招标条件，进行公开招标；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（二）风景名胜区管理机构组织专家根据招标条件，对投标人的投资、经营方案进行审查和评议，选择特许经营权授予对象；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（三）风景名胜区管理机构将中标人及其投资、经营方案在相关媒体上进行公示，接受社会监督；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（四）公示期满后，由风景名胜区管理机构与中标人签订特许经营协议确定各自的权利义务。</w:t>
      </w:r>
    </w:p>
    <w:p>
      <w:pPr>
        <w:pStyle w:val="Normal"/>
        <w:spacing w:lineRule="exact" w:line="60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特许经营者在经营期内不得有下列行为：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（一）擅自处分特许经营权、风景名胜资源或者变更特许经营内容；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（二）擅自停业、歇业影响公共利益和公共安全；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（三）经营活动违反法律、法规规定，或者经营设施、项目危及公共安全、违反风景名胜区规划。</w:t>
      </w:r>
    </w:p>
    <w:p>
      <w:pPr>
        <w:pStyle w:val="Normal"/>
        <w:spacing w:lineRule="exact" w:line="60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特许经营权期满或者被依法撤销后，原特许经营者应当在风景名胜区管理机构规定的时间内，将维持特许经营业务正常运行所必需的资产、档案移交风景名胜区管理机构。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在风景名胜区管理机构完成接管前，原特许经营者应当按照风景名胜区管理机构的要求，履行职责，维持正常经营。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风景名胜区管理机构应当及时接管，并在接管后履行维持特许经营业务正常运行的义务。</w:t>
      </w:r>
    </w:p>
    <w:p>
      <w:pPr>
        <w:pStyle w:val="Normal"/>
        <w:spacing w:lineRule="exact" w:line="60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风景名胜区管理机构应当在特许经营权期限届满时，按照本条例第四十四条的规定重新选择特许经营者。重新选择特许经营者时，原经营者在同等条件下享有优先权。</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第四十八条 </w:t>
      </w:r>
      <w:r>
        <w:rPr>
          <w:rFonts w:ascii="仿宋_GB2312" w:hAnsi="仿宋_GB2312" w:hint="eastAsia" w:eastAsia="仿宋_GB2312"/>
          <w:sz w:val="32"/>
          <w:szCs w:val="32"/>
        </w:rPr>
        <w:t xml:space="preserve"> 特许经营期间，因不可抗力无法正常经营时，可以提前终止特许经营权。</w:t>
      </w:r>
    </w:p>
    <w:p>
      <w:pPr>
        <w:pStyle w:val="Normal"/>
        <w:spacing w:lineRule="exact" w:line="60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特许经营者应当缴纳风景名胜资源有偿使用费。具体办法由省人民政府制定。</w:t>
      </w:r>
    </w:p>
    <w:p>
      <w:pPr>
        <w:pStyle w:val="Normal"/>
        <w:spacing w:lineRule="exact" w:line="60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本条例施行前在风景名胜区内已经取得的项目经营权，依照有关法律、法规和国家规定处理。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违反本条例第二十一条规定，在风景名胜区内采挖花草苗木或者在景区内砍柴、放牧的，由风景名胜区管理机构给予警告</w:t>
      </w:r>
      <w:r>
        <w:rPr>
          <w:rFonts w:eastAsia="仿宋_GB2312" w:hint="eastAsia" w:ascii="仿宋_GB2312" w:hAnsi="仿宋_GB2312"/>
          <w:sz w:val="32"/>
          <w:szCs w:val="32"/>
        </w:rPr>
        <w:t>,</w:t>
      </w:r>
      <w:r>
        <w:rPr>
          <w:rFonts w:ascii="仿宋_GB2312" w:hAnsi="仿宋_GB2312" w:hint="eastAsia" w:eastAsia="仿宋_GB2312"/>
          <w:sz w:val="32"/>
          <w:szCs w:val="32"/>
        </w:rPr>
        <w:t>责令停止违法行为；情节严重的，并处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违反本条例第二十一条规定，在禁火区内吸烟、燃放烟花爆竹、用火的，由风景名胜区管理机构给予警告</w:t>
      </w:r>
      <w:r>
        <w:rPr>
          <w:rFonts w:eastAsia="仿宋_GB2312" w:hint="eastAsia" w:ascii="仿宋_GB2312" w:hAnsi="仿宋_GB2312"/>
          <w:sz w:val="32"/>
          <w:szCs w:val="32"/>
        </w:rPr>
        <w:t>,</w:t>
      </w:r>
      <w:r>
        <w:rPr>
          <w:rFonts w:ascii="仿宋_GB2312" w:hAnsi="仿宋_GB2312" w:hint="eastAsia" w:eastAsia="仿宋_GB2312"/>
          <w:sz w:val="32"/>
          <w:szCs w:val="32"/>
        </w:rPr>
        <w:t>责令停止违法行为；情节严重或者造成严重后果的，并处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万元以下罚款；造成损失的，依法承担赔偿责任。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一条规定，擅自建造、设立宗教活动场所或者塑造佛像、神像等以及毁坏风景林木或者进行抚育、更新以外的采伐的，由风景名胜区管理机构责令停止违法行为，有违法所得的，没收违法所得，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万元以下罚款；情节严重的，并处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万元以下罚款；造成损失的，依法承担赔偿责任。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上列违法行为，有关部门依照法律、法规的规定已经处罚的，风景名胜区管理机构不再处罚。</w:t>
      </w:r>
    </w:p>
    <w:p>
      <w:pPr>
        <w:pStyle w:val="Normal"/>
        <w:spacing w:lineRule="exact" w:line="60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违反本条例第三十条规定，未经风景名胜区管理机构审核并依法报批，在风景名胜区内进行临时建设的或者在风景名胜区内临时使用的土地上建设永久性建筑物的，由风景名胜区管理机构责令停止建设；已经建设的，责令限期拆除，逾期未拆除的，依法强制拆除，拆除费用和由此引起的财产损失由违法行为人承担。</w:t>
      </w:r>
    </w:p>
    <w:p>
      <w:pPr>
        <w:pStyle w:val="Normal"/>
        <w:spacing w:lineRule="exact" w:line="60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车辆、船只进入风景名胜区不按照规定的线路、地点行驶、停放的，个人不遵守景区游览秩序或者安全制度的，由风景名胜区管理机构予以警告，不听劝阻的，处</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未经批准或者不按照指定的地点从事经营活动的以及在景物周围圈占拍摄位置或者向自行拍摄的游客收取费用的，由风景名胜区管理机构责令改正、没收违法所得，可以处</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特许经营者违反本条例第四十五条规定的，由风景名胜区管理机构责令限期改正，有违法所得的，没收违法所得，并处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万元以下罚款；情节严重的，撤销特许经营权。</w:t>
      </w:r>
    </w:p>
    <w:p>
      <w:pPr>
        <w:pStyle w:val="Normal"/>
        <w:spacing w:lineRule="exact" w:line="60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特许经营者违反本条例，有下列行为之一的，由风景名胜区管理机构或者其他有关部门责令限期改正，并处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万元以下罚款；情节严重的，撤销特许经营权：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（一）自取得特许经营权之日起</w:t>
      </w:r>
      <w:r>
        <w:rPr>
          <w:rFonts w:eastAsia="仿宋_GB2312" w:hint="eastAsia" w:ascii="仿宋_GB2312" w:hAnsi="仿宋_GB2312"/>
          <w:sz w:val="32"/>
          <w:szCs w:val="32"/>
        </w:rPr>
        <w:t>2</w:t>
      </w:r>
      <w:r>
        <w:rPr>
          <w:rFonts w:ascii="仿宋_GB2312" w:hAnsi="仿宋_GB2312" w:hint="eastAsia" w:eastAsia="仿宋_GB2312"/>
          <w:sz w:val="32"/>
          <w:szCs w:val="32"/>
        </w:rPr>
        <w:t>年内没有实施投资、经营方案的；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（二）不按规定缴纳风景名胜资源有偿使用费的。</w:t>
      </w:r>
    </w:p>
    <w:p>
      <w:pPr>
        <w:pStyle w:val="Normal"/>
        <w:spacing w:lineRule="exact" w:line="600"/>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xml:space="preserve">  风景名胜区管理机构有下列情形之一的，由其上级行政机关责令限期改正；尚不构成犯罪的，对直接负责的主管人员和其他直接责任人员依法给予处分：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（一）风景名胜区总体规划和详细规划未经批准前，实施特许经营的；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（二）对不符合法定条件的申请人授予特许经营权的；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（三）对符合招投标条件的项目，未经招标或者不根据招标结果选择特许经营者的。</w:t>
      </w:r>
    </w:p>
    <w:p>
      <w:pPr>
        <w:pStyle w:val="Normal"/>
        <w:spacing w:lineRule="exact" w:line="600"/>
        <w:ind w:firstLineChars="200" w:startChars="0" w:start="0" w:endChars="0" w:end="0"/>
        <w:rPr/>
      </w:pPr>
      <w:r>
        <w:rPr>
          <w:rFonts w:ascii="黑体;SimHei" w:hAnsi="黑体;SimHei" w:hint="eastAsia" w:eastAsia="黑体;SimHei"/>
          <w:sz w:val="32"/>
          <w:szCs w:val="32"/>
        </w:rPr>
        <w:t>第五十八条</w:t>
      </w:r>
      <w:r>
        <w:rPr>
          <w:rFonts w:ascii="仿宋_GB2312" w:hAnsi="仿宋_GB2312" w:hint="eastAsia" w:eastAsia="仿宋_GB2312"/>
          <w:sz w:val="32"/>
          <w:szCs w:val="32"/>
        </w:rPr>
        <w:t xml:space="preserve">  违反本条例规定，行政机关工作人员、风景名胜区管理机构工作人员滥用职权、玩忽职守、徇私舞弊，尚不构成犯罪的，依法给予行政处分。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pacing w:lineRule="exact" w:line="600"/>
        <w:ind w:firstLineChars="200" w:startChars="0" w:start="0" w:endChars="0" w:end="0"/>
        <w:rPr/>
      </w:pPr>
      <w:r>
        <w:rPr>
          <w:rFonts w:ascii="黑体;SimHei" w:hAnsi="黑体;SimHei" w:hint="eastAsia" w:eastAsia="黑体;SimHei"/>
          <w:sz w:val="32"/>
          <w:szCs w:val="32"/>
        </w:rPr>
        <w:t>第五十九条</w:t>
      </w:r>
      <w:r>
        <w:rPr>
          <w:rFonts w:ascii="仿宋_GB2312" w:hAnsi="仿宋_GB2312" w:hint="eastAsia" w:eastAsia="仿宋_GB2312"/>
          <w:sz w:val="32"/>
          <w:szCs w:val="32"/>
        </w:rPr>
        <w:t xml:space="preserve">  本条例所称景区，是指在风景名胜区规划中，根据景源类型、景观特征或者游赏需求而划分的一定用地范围，包含有较多的景物和景点或者若干景群，形成相对独立的分区特征。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本条例所称核心景区，是指风景名胜区范围内自然景物、人文景物最集中的、最具观赏价值、最需要严格保护的区域，包括规划中确定的生态保护区、自然景观保护区和史迹保护区。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本条例所称风景名胜资源，是指具有观赏、文化或者科学价值，可以作为风景游览对象和风景开发利用的自然景观、人文景观以及风土人情等。</w:t>
      </w:r>
    </w:p>
    <w:p>
      <w:pPr>
        <w:pStyle w:val="Normal"/>
        <w:spacing w:lineRule="exact" w:line="600"/>
        <w:ind w:firstLineChars="200" w:startChars="0" w:start="0" w:endChars="0" w:end="0"/>
        <w:rPr/>
      </w:pPr>
      <w:r>
        <w:rPr>
          <w:rFonts w:ascii="黑体;SimHei" w:hAnsi="黑体;SimHei" w:hint="eastAsia" w:eastAsia="黑体;SimHei"/>
          <w:sz w:val="32"/>
          <w:szCs w:val="32"/>
        </w:rPr>
        <w:t>第六十条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15</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2018-01-16T09:30:00Z</dcterms:modified>
  <cp:revision>5</cp:revision>
  <dc:subject/>
  <dc:title>贵州省风景名胜区条例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