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贵州省档案条例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日贵州省第九届人民代表大会常务委员会第二十四次会议通过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日贵州省第十届人民代表大会常务委员会第八次会议通过的《贵州省部分地方性法规条款修改案》第一次修正 </w:t>
      </w:r>
      <w:r>
        <w:rPr>
          <w:rFonts w:ascii="楷体_GB2312" w:hAnsi="楷体_GB2312" w:cs="楷体" w:hint="eastAsia" w:eastAsia="楷体_GB2312"/>
          <w:sz w:val="32"/>
          <w:szCs w:val="32"/>
        </w:rPr>
        <w:t xml:space="preserve"> 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日贵州省第十二届人民代表大会常务委员会第三十二次会议通过的《贵州省人民代表大会常务委员会关于修改〈贵州省建筑市场管理条例〉等二十五件法规个别条款的决定》第二次修正</w:t>
      </w:r>
      <w:r>
        <w:rPr>
          <w:rFonts w:ascii="楷体_GB2312" w:hAnsi="楷体_GB2312" w:hint="eastAsia" w:eastAsia="楷体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为了加强档案管理，有效地保护和利用档案，根据《中华人民共和国档案法》、《中华人民共和国档案法实施办法》和有关法律、法规的规定，结合本省实际，制定本条例。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本省行政区域内的机关、团体、企业事业单位、其他组织和公民，应当遵守本条例。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县级以上人民政府应当加强对档案工作的领导，把档案事业的建设列入本级国民经济和社会发展计划，为档案的收集、征集、安全保护、抢救和档案信息的研究与开发利用提供必要的条件。</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省人民政府档案管理部门主管全省档案工作，对全省档案工作实行统筹规划、组织协调、统一制度、监督和指导。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县级以上人民政府档案管理部门主管本行政区域内的档案工作，履行法律、法规规定的职责。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县级以上人民政府各部门，应当按照各自的职责，配合档案管理部门做好档案工作。</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乡镇人民政府、街道办事处应当指定专人负责收集、整理和保管本机关的档案，并对所属单位和基层组织的档案工作实行监督和指导。</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机关、团体、企业事业单位和其他组织的档案机构或者档案工作人员，负责保管本单位的档案，并对所属机构的档案工作实行监督和指导。</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县级以上国家档案馆负责接收、收集、整理、保管和提供利用分管范围内各种门类的档案。</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部门档案馆、专业档案馆、事业单位档案馆、企业档案馆的设置及其档案接收范围，按照国家有关规定办理。</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省人民政府各部门经省档案管理部门同意，可以制定本系统专业档案的具体管理制度和办法。</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档案工作人员应当忠于职守、遵守纪律、保守秘密，具备专业知识，并接受岗位培训。</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从事档案整理、鉴定、评估、咨询等中介服务的机构及其人员，必须接受县级以上人民政府档案管理部门的业务监督和指导。</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机关、团体、企业事业单位和其他组织及其工作人员在公务活动中形成的具有保存价值的文字、图表、声像等材料属国家所有，由本单位文书部门或者业务部门收集齐全和规范整理，并按照规定移交给本单位档案机构或者档案工作人员，集中统一管理，不得据为己有或者拒绝归档。</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机关、团体、企业事业单位和其他组织，应当按照国家规定，定期向有关的国家档案馆移交档案。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不属于国家所有但对国家和社会具有保存价值或者应当保密的档案，档案所有者可以向各级国家档案馆寄存、捐赠或者出售。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向档案馆移交、捐赠、寄存档案的单位或者个人，对其档案享有优先和无偿利用权。</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机关、团体、企业事业单位和其他组织应当在其设立、合并、变更后或者撤销前</w:t>
      </w:r>
      <w:r>
        <w:rPr>
          <w:rFonts w:eastAsia="仿宋_GB2312" w:hint="eastAsia" w:ascii="仿宋_GB2312" w:hAnsi="仿宋_GB2312"/>
          <w:sz w:val="32"/>
          <w:szCs w:val="32"/>
        </w:rPr>
        <w:t>30</w:t>
      </w:r>
      <w:r>
        <w:rPr>
          <w:rFonts w:ascii="仿宋_GB2312" w:hAnsi="仿宋_GB2312" w:hint="eastAsia" w:eastAsia="仿宋_GB2312"/>
          <w:sz w:val="32"/>
          <w:szCs w:val="32"/>
        </w:rPr>
        <w:t>日内，告知同级档案管理部门；档案管理部门应当依法监督、指导其做好建档或者档案处置工作。</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对记述和反映少数民族政治、军事、经济、科技、教育、文化、宗教等活动以及少数民族历史的各种载体档案，县级以上国家档案馆及有关部门和单位应当做好收集、整理、保护和开发利用工作。</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县级以上国家档案馆应当及时收集、征集重要公务活动中形成的档案，加强对珍贵档案和地方特色档案的收集和征集工作。</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县级以上国家档案馆应当加强对档案信息的研究与开发，运用先进的科学技术将可以公开发布的档案信息制成各种形式的载体，提供社会利用。</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县级以上人民政府确定的重点建设项目和重大科学技术研究项目，项目承担部门或者主持单位应当在同级档案行政管理部门的监督指导下做好档案工作，确保项目档案的完整收集、规范整理和安全保管。</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国有企业与外商合资、合作前的档案属国家所有；合资、合作期间的档案另立全宗；合资、合作期满，其档案由中方保存，若外方需要，可以提供复制件。</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国有企业资产与产权变动中的具有保存价值的档案，按照国家有关规定处置。</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除国家另有规定外，列入专业档案馆接收范围的档案，立档单位应当自档案形成之日起</w:t>
      </w:r>
      <w:r>
        <w:rPr>
          <w:rFonts w:eastAsia="仿宋_GB2312" w:hint="eastAsia" w:ascii="仿宋_GB2312" w:hAnsi="仿宋_GB2312"/>
          <w:sz w:val="32"/>
          <w:szCs w:val="32"/>
        </w:rPr>
        <w:t>1</w:t>
      </w:r>
      <w:r>
        <w:rPr>
          <w:rFonts w:ascii="仿宋_GB2312" w:hAnsi="仿宋_GB2312" w:hint="eastAsia" w:eastAsia="仿宋_GB2312"/>
          <w:sz w:val="32"/>
          <w:szCs w:val="32"/>
        </w:rPr>
        <w:t>年内向专业档案馆移交；列入部门档案馆或者企业事业单位档案馆收集范围的档案，立档单位应当自档案形成的次年</w:t>
      </w:r>
      <w:r>
        <w:rPr>
          <w:rFonts w:eastAsia="仿宋_GB2312" w:hint="eastAsia" w:ascii="仿宋_GB2312" w:hAnsi="仿宋_GB2312"/>
          <w:sz w:val="32"/>
          <w:szCs w:val="32"/>
        </w:rPr>
        <w:t>6</w:t>
      </w:r>
      <w:r>
        <w:rPr>
          <w:rFonts w:ascii="仿宋_GB2312" w:hAnsi="仿宋_GB2312" w:hint="eastAsia" w:eastAsia="仿宋_GB2312"/>
          <w:sz w:val="32"/>
          <w:szCs w:val="32"/>
        </w:rPr>
        <w:t>月底前向部门档案馆或者企业事业单位档案馆移交；部门档案馆保存的永久档案，自档案形成之日起满</w:t>
      </w:r>
      <w:r>
        <w:rPr>
          <w:rFonts w:eastAsia="仿宋_GB2312" w:hint="eastAsia" w:ascii="仿宋_GB2312" w:hAnsi="仿宋_GB2312"/>
          <w:sz w:val="32"/>
          <w:szCs w:val="32"/>
        </w:rPr>
        <w:t>30</w:t>
      </w:r>
      <w:r>
        <w:rPr>
          <w:rFonts w:ascii="仿宋_GB2312" w:hAnsi="仿宋_GB2312" w:hint="eastAsia" w:eastAsia="仿宋_GB2312"/>
          <w:sz w:val="32"/>
          <w:szCs w:val="32"/>
        </w:rPr>
        <w:t>年即向同级国家档案馆移交。</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机关、团体、企业事业单位和其他组织应当将本单位编印出版的报刊、文集、志书、年鉴、大事记、组织史、政策法规汇编等出版物按期归档，并送同级国家档案馆保存。</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对抢救、保护、捐赠档案有功或者在档案工作中做出显著成绩的单位或者个人，由各级人民政府、档案管理部门或者有关主管部门给予表彰和奖励。</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违反本条例，有下列行为之一的，由县级以上人民政府档案管理部门责令限期改正；逾期不改的，对直接负责的主管人员和其他直接责任人员依法给予行政处分：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（一）擅自改变档案馆（库）用途的；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（二）拒不执行档案工作有关规范和标准，档案管理混乱的；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（三）拒绝接受档案管理部门监督检查或者拒不改正违规行为的。</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违反本条例规定的其他违法行为，由档案管理部门按照《中华人民共和国档案法》和《中华人民共和国档案法实施办法》的规定予以处罚。</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本条例自</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2018-01-16T10:49:00Z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