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贵州省文物保护条例</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2005</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23</w:t>
      </w:r>
      <w:r>
        <w:rPr>
          <w:rFonts w:ascii="楷体_GB2312" w:hAnsi="楷体_GB2312" w:hint="eastAsia" w:eastAsia="楷体_GB2312"/>
          <w:sz w:val="32"/>
          <w:szCs w:val="32"/>
        </w:rPr>
        <w:t>日贵州省第十届人民代表大会常务委员会第十七次会议通过  根据</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日贵州省第十二届人民代表大会常务委员会第十六次会议通过的《贵州省人民代表大会常务委员会关于修改〈贵州省统计管理条例〉等五件法规个别条款的决定》第一次修正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日贵州省第十二届人民代表大会常务委员会第三十二次会议通过的《贵州省人民代表大会常务委员会关于修改〈贵州省建筑市场管理条例〉等二十五件法规个别条款的决定》第二次修正</w:t>
      </w:r>
      <w:r>
        <w:rPr>
          <w:rFonts w:ascii="楷体_GB2312" w:hAnsi="楷体_GB2312" w:hint="eastAsia" w:eastAsia="楷体_GB2312"/>
          <w:sz w:val="32"/>
          <w:szCs w:val="32"/>
        </w:rPr>
        <w:t>）</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为了加强对文物的保护，根据《中华人民共和国文物保护法》和有关法律、法规的规定，结合本省实际，制定本条例。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本条例适用于本省行政区域内的文物和具有科学价值的古脊椎动物化石、古人类化石的保护、利用和管理。</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各级人民政府负责本行政区域内的文物保护工作。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县级以上人民政府应当将文物保护事业纳入本级国民经济和社会发展规划，所需经费列入本级财政预算；用于文物保护的财政拨款随着财政收入增长而增加。</w:t>
      </w:r>
    </w:p>
    <w:p>
      <w:pPr>
        <w:pStyle w:val="Normal"/>
        <w:spacing w:lineRule="exact" w:line="60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县级以上人民政府文物行政主管部门负责对本行政区域内的文物保护实施监督管理。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其他相关部门在各自的职责范围内做好文物保护的有关工作。</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县级以上人民政府文物行政主管部门应当定期开展文物普查登记工作，与其他相关部门实行文物信息资源共享</w:t>
      </w:r>
      <w:r>
        <w:rPr>
          <w:rFonts w:eastAsia="仿宋_GB2312" w:hint="eastAsia" w:ascii="仿宋_GB2312" w:hAnsi="仿宋_GB2312"/>
          <w:sz w:val="32"/>
          <w:szCs w:val="32"/>
        </w:rPr>
        <w:t>,</w:t>
      </w:r>
      <w:r>
        <w:rPr>
          <w:rFonts w:ascii="仿宋_GB2312" w:hAnsi="仿宋_GB2312" w:hint="eastAsia" w:eastAsia="仿宋_GB2312"/>
          <w:sz w:val="32"/>
          <w:szCs w:val="32"/>
        </w:rPr>
        <w:t>制定文物保护的科学技术研究规划，促进文物保护科技成果的推广和应用，提高文物保护的科学技术水平，组织文物和博物馆专业人才的培训工作。</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县级以上人民政府文物行政主管部门应当加强对反映本省少数民族历史发展、社会生产、生活习俗、节日庆典、信仰祭祀、游艺活动和民俗仪式的文献、典籍、契约、手稿、谱牒、器具、用具、服饰等具有代表性的可移动文物的抢救、保护和利用。</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鼓励和支持单位和个人建立与本省历史文物、少数民族文物等相关、具有地方特点的专题博物馆。</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省级文物保护单位，由省人民政府文物行政主管部门根据本省行政区域内不可移动文物的历史、艺术、科学价值确定，报省人民政府核定公布，并报国务院备案。具有重大历史、艺术、科学价值的不可移动文物，应当向国务院文物行政主管部门推荐为全国重点文物保护单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市、自治州级和县级文物保护单位，分别由市、自治州和县级人民政府文物行政主管部门根据本行政区域内不可移动文物的历史、艺术、科学价值确定，报同级人民政府核定公布，并报省人民政府备案。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尚未核定公布为文物保护单位的不可移动文物，由县级人民政府文物行政主管部门组织调查后，对其名称、类别、位置、规模等事项予以登记并公布，并留存相关的图片资料，建立记录档案。</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全国重点文物保护单位、省级文物保护单位自核定公布之日起</w:t>
      </w:r>
      <w:r>
        <w:rPr>
          <w:rFonts w:eastAsia="仿宋_GB2312" w:hint="eastAsia" w:ascii="仿宋_GB2312" w:hAnsi="仿宋_GB2312"/>
          <w:sz w:val="32"/>
          <w:szCs w:val="32"/>
        </w:rPr>
        <w:t>1</w:t>
      </w:r>
      <w:r>
        <w:rPr>
          <w:rFonts w:ascii="仿宋_GB2312" w:hAnsi="仿宋_GB2312" w:hint="eastAsia" w:eastAsia="仿宋_GB2312"/>
          <w:sz w:val="32"/>
          <w:szCs w:val="32"/>
        </w:rPr>
        <w:t>年内，其保护范围分别由所在地的市、自治州、县级人民政府文物行政主管部门会同同级建设规划行政主管部门提出初步意见，经省人民政府文物行政主管部门会同同级建设规划行政主管部门划定后，报省人民政府批准公布。全国重点文物保护单位的保护范围划定后，由省人民政府文物行政主管部门报国务院文物行政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市、自治州级和县级文物保护单位自核定公布之日起</w:t>
      </w:r>
      <w:r>
        <w:rPr>
          <w:rFonts w:eastAsia="仿宋_GB2312" w:hint="eastAsia" w:ascii="仿宋_GB2312" w:hAnsi="仿宋_GB2312"/>
          <w:sz w:val="32"/>
          <w:szCs w:val="32"/>
        </w:rPr>
        <w:t>1</w:t>
      </w:r>
      <w:r>
        <w:rPr>
          <w:rFonts w:ascii="仿宋_GB2312" w:hAnsi="仿宋_GB2312" w:hint="eastAsia" w:eastAsia="仿宋_GB2312"/>
          <w:sz w:val="32"/>
          <w:szCs w:val="32"/>
        </w:rPr>
        <w:t>年内，其保护范围分别由原核定公布单位划定后，报同级人民政府批准公布，并报上一级人民政府文物行政主管部门备案。</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省人民政府文物行政主管部门负责制定全国重点文物保护单位和省级文物保护单位的具体保护措施。市、自治州、县级人民政府文物行政主管部门分别负责制定市、自治州级和县级文物保护单位和未核定为文物保护单位的不可移动文物的具体保护措施，并公告施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保护措施应当包括不可移动文物的保护规划、修缮、安全、利用、保护设施、环境整治等内容。</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纳入旅游发展规划或者旅游线路的不可移动文物，应当按照不可移动文物的保护措施进行有效保护和合理利用。</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国有文物保护单位应当在妥善保护的前提下，依法向社会开放。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国有不可移动文物不得转让、抵押。建立博物馆、保管所或者辟为参观游览场所的国有文物保护单位，不得作为企业资产经营。</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任何单位和个人发现有危害文物保护单位安全或者破坏其历史风貌的，应当向县级以上人民政府文物行政主管部门举报。县级以上人民政府文物行政主管部门应当先采取相应措施，并于发现或者接到举报之日起</w:t>
      </w:r>
      <w:r>
        <w:rPr>
          <w:rFonts w:eastAsia="仿宋_GB2312" w:hint="eastAsia" w:ascii="仿宋_GB2312" w:hAnsi="仿宋_GB2312"/>
          <w:sz w:val="32"/>
          <w:szCs w:val="32"/>
        </w:rPr>
        <w:t>5</w:t>
      </w:r>
      <w:r>
        <w:rPr>
          <w:rFonts w:ascii="仿宋_GB2312" w:hAnsi="仿宋_GB2312" w:hint="eastAsia" w:eastAsia="仿宋_GB2312"/>
          <w:sz w:val="32"/>
          <w:szCs w:val="32"/>
        </w:rPr>
        <w:t>日内，将情况报告有处理权的县级以上人民政府。</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不可移动文物的所有人、使用人或者管理人，应当与县级人民政府文物行政主管部门签订防火、防爆、防盗、防其他责任事故的文物安全责任书；不可移动文物的所有人、使用人或者管理人发生改变的，应当重新签订。</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文物安全责任书由省人民政府文物行政主管部门会同公安等有关部门统一制作。</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不可移动文物的所有人、使用人或者管理人，应当加强火源、电源的管理，配备必要的灭火、避雷设施。在重点要害部位应当安装自动报警、灭火、避雷等设施。安装、使用设施不得对不可移动文物造成损坏。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发生危害文物安全的险情时，不可移动文物的所有人、使用人或者管理人应当立即采取救护措施，并在</w:t>
      </w:r>
      <w:r>
        <w:rPr>
          <w:rFonts w:eastAsia="仿宋_GB2312" w:hint="eastAsia" w:ascii="仿宋_GB2312" w:hAnsi="仿宋_GB2312"/>
          <w:sz w:val="32"/>
          <w:szCs w:val="32"/>
        </w:rPr>
        <w:t>24</w:t>
      </w:r>
      <w:r>
        <w:rPr>
          <w:rFonts w:ascii="仿宋_GB2312" w:hAnsi="仿宋_GB2312" w:hint="eastAsia" w:eastAsia="仿宋_GB2312"/>
          <w:sz w:val="32"/>
          <w:szCs w:val="32"/>
        </w:rPr>
        <w:t>小时内向县级以上人民政府文物行政主管部门报告。</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不可移动文物应当妥善保养，受到损坏的，应当按照县级以上人民政府文物行政主管部门批准的修缮方案进行修缮；变更已经批准的修缮方案，必须报原审批的部门批准。</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省人民政府文物行政主管部门负责组织实施大型基本建设工程选址范围内的文物保护。建设单位在进行大型基本建设工程前，应当报请省人民政府文物行政主管部门组织具有相应资质的文物保护单位在工程占地范围内进行文物调查。省人民政府文物行政主管部门应当根据文物保护要求，对发现的文物应当委托具有相应资质的文物保护单位提出文物保护方案，并会同建设单位共同商定保护措施。建设单位应当将保护措施列入建设工程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基本建设和生产建设中进行的文物调查、勘探、考古发掘所需的经费，由建设单位列入建设工程预算。</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建设工程因特殊情况确实不能避开不可移动文物，需要实施原址保护的，建设单位应当事先委托具有相应资质的文物保护单位进行勘察研究，并与建设规划行政主管部门协商提出原址保护的意见书。建设单位应当根据意见书确定保护措施，并根据文物保护单位的级别报相应的文物行政主管部门批准。</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国有文物收藏单位应当建立购买、征集、移交、接受捐赠、拣选文物的入藏、保管及定期核查制度，并报主管的文物行政主管部门备案。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不具备收藏珍贵文物条件的国有文物收藏单位，省人民政府文物行政主管部门可以指定具备收藏条件的国有文物收藏单位代为保管其收藏的珍贵文物。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非国有文物收藏单位收藏国有文物的，应当具备收藏国有文物的条件，并根据收藏的国有文物等级建立档案，建立健全保管制度，报县级以上人民政府文物行政主管部门备案。</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文物复制品应当有表明复制的标识。</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文物商店销售的文物，在销售前应当经省人民政府文物行政主管部门审核同意，并加贴审核标识。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任何单位和个人不得伪造、涂改文物审核标识。</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依法设立的拍卖企业经营文物拍卖的，应当取得省人民政府文物行政主管部门颁发的文物拍卖许可证。省人民政府文物行政主管部门依法对文物拍卖许可进行审批和监督管理，审批事项结果向国务院文物行政主管部门备案。</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拍卖企业拍卖文物前，应当报省人民政府文物行政主管部门审核，并提供下列材料：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（一）拟拍卖文物的名称；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（二）拟拍卖文物的图录；</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（三）拟拍卖文物的来源说明；</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（四）委托人姓名或者名称、住所及有效身份证件号码或者有效证照号码。</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省人民政府文物行政主管部门审核拟拍卖的文物，应当征求有关文物鉴定专业机构或者专家的意见，并自收到申请之日起</w:t>
      </w:r>
      <w:r>
        <w:rPr>
          <w:rFonts w:eastAsia="仿宋_GB2312" w:hint="eastAsia" w:ascii="仿宋_GB2312" w:hAnsi="仿宋_GB2312"/>
          <w:sz w:val="32"/>
          <w:szCs w:val="32"/>
        </w:rPr>
        <w:t>20</w:t>
      </w:r>
      <w:r>
        <w:rPr>
          <w:rFonts w:ascii="仿宋_GB2312" w:hAnsi="仿宋_GB2312" w:hint="eastAsia" w:eastAsia="仿宋_GB2312"/>
          <w:sz w:val="32"/>
          <w:szCs w:val="32"/>
        </w:rPr>
        <w:t>日内提出审核意见。对符合国家规定的拍卖条件的，应当作出审核同意的书面决定，并在拍卖公告发布日</w:t>
      </w:r>
      <w:r>
        <w:rPr>
          <w:rFonts w:eastAsia="仿宋_GB2312" w:hint="eastAsia" w:ascii="仿宋_GB2312" w:hAnsi="仿宋_GB2312"/>
          <w:sz w:val="32"/>
          <w:szCs w:val="32"/>
        </w:rPr>
        <w:t>15</w:t>
      </w:r>
      <w:r>
        <w:rPr>
          <w:rFonts w:ascii="仿宋_GB2312" w:hAnsi="仿宋_GB2312" w:hint="eastAsia" w:eastAsia="仿宋_GB2312"/>
          <w:sz w:val="32"/>
          <w:szCs w:val="32"/>
        </w:rPr>
        <w:t>日前，将拟拍卖的文物的资料及审核意见报国务院文物行政主管部门备案；对不符合国家规定的拍卖条件的，应当作出不同意的书面决定，并说明理由。</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省人民政府文物行政主管部门审核拟拍卖的文物，不能确定是否可以拍卖的，应当自收到申请之日起</w:t>
      </w:r>
      <w:r>
        <w:rPr>
          <w:rFonts w:eastAsia="仿宋_GB2312" w:hint="eastAsia" w:ascii="仿宋_GB2312" w:hAnsi="仿宋_GB2312"/>
          <w:sz w:val="32"/>
          <w:szCs w:val="32"/>
        </w:rPr>
        <w:t>20</w:t>
      </w:r>
      <w:r>
        <w:rPr>
          <w:rFonts w:ascii="仿宋_GB2312" w:hAnsi="仿宋_GB2312" w:hint="eastAsia" w:eastAsia="仿宋_GB2312"/>
          <w:sz w:val="32"/>
          <w:szCs w:val="32"/>
        </w:rPr>
        <w:t>日内报国务院文物行政主管部门审核。</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违反本条例规定，有下列行为之一，尚不构成犯罪的，由县级以上人民政府文物行政主管部门责令改正；对个人可处以</w:t>
      </w:r>
      <w:r>
        <w:rPr>
          <w:rFonts w:eastAsia="仿宋_GB2312" w:hint="eastAsia" w:ascii="仿宋_GB2312" w:hAnsi="仿宋_GB2312"/>
          <w:sz w:val="32"/>
          <w:szCs w:val="32"/>
        </w:rPr>
        <w:t>2000</w:t>
      </w:r>
      <w:r>
        <w:rPr>
          <w:rFonts w:ascii="仿宋_GB2312" w:hAnsi="仿宋_GB2312" w:hint="eastAsia" w:eastAsia="仿宋_GB2312"/>
          <w:sz w:val="32"/>
          <w:szCs w:val="32"/>
        </w:rPr>
        <w:t>元以下罚款，对单位可处以</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万元以下罚款；并对直接负责的主管人员和其他直接责任人员，依法给予行政处分：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（一）未按照规定配备必要的灭火、避雷设施的；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（二）安装、使用自动报警、灭火、避雷等设施对不可移动文物造成损坏的；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（三）发生危害文物安全的险情，未立即采取救护措施，或者未在</w:t>
      </w:r>
      <w:r>
        <w:rPr>
          <w:rFonts w:eastAsia="仿宋_GB2312" w:hint="eastAsia" w:ascii="仿宋_GB2312" w:hAnsi="仿宋_GB2312"/>
          <w:sz w:val="32"/>
          <w:szCs w:val="32"/>
        </w:rPr>
        <w:t>24</w:t>
      </w:r>
      <w:r>
        <w:rPr>
          <w:rFonts w:ascii="仿宋_GB2312" w:hAnsi="仿宋_GB2312" w:hint="eastAsia" w:eastAsia="仿宋_GB2312"/>
          <w:sz w:val="32"/>
          <w:szCs w:val="32"/>
        </w:rPr>
        <w:t>小时内向县级以上人民政府文物行政主管部门报告的。</w:t>
      </w:r>
    </w:p>
    <w:p>
      <w:pPr>
        <w:pStyle w:val="Normal"/>
        <w:spacing w:lineRule="exact" w:line="60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违反本条例规定，有下列行为之一，尚不构成犯罪的，由县级以上人民政府文物行政主管部门责令改正；造成严重后果的，处以</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（一）未经批准或者擅自变更已获得批准的文物修缮方案修缮不可移动文物的；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（二）对不可移动文物实施原址保护时，建设单位未事先委托具有相应资质的文物保护单位进行勘察研究，确定文物保护措施的；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（三）建设单位在进行大型基本建设工程前，未报请省人民政府文物行政主管部门组织进行文物调查的。</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违反本条例第二十一条的规定，伪造、涂改文物审核标识的，由省人民政府文物行政主管部门责令改正，可处以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文物行政主管部门、其他有关行政部门及其工作人员，违反本条例规定，滥用审批权限、不依法履行监督管理职责、发现违法行为不予查处，或者接到危害文物安全的险情报告不立即采取救护措施，尚不构成犯罪的，对直接负责的主管人员和其他直接责任人员依法给予行政处分。</w:t>
      </w:r>
    </w:p>
    <w:p>
      <w:pPr>
        <w:pStyle w:val="Normal"/>
        <w:spacing w:lineRule="exact" w:line="60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违反本条例规定，有关法律、法规另有处罚规定的，从其规定。</w:t>
      </w:r>
    </w:p>
    <w:p>
      <w:pPr>
        <w:pStyle w:val="Normal"/>
        <w:spacing w:lineRule="exact" w:line="60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本条例自</w:t>
      </w:r>
      <w:r>
        <w:rPr>
          <w:rFonts w:eastAsia="仿宋_GB2312" w:hint="eastAsia" w:ascii="仿宋_GB2312" w:hAnsi="仿宋_GB2312"/>
          <w:sz w:val="32"/>
          <w:szCs w:val="32"/>
        </w:rPr>
        <w:t>2005</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r>
        <w:rPr>
          <w:rFonts w:eastAsia="仿宋_GB2312" w:hint="eastAsia" w:ascii="仿宋_GB2312" w:hAnsi="仿宋_GB2312"/>
          <w:sz w:val="32"/>
          <w:szCs w:val="32"/>
        </w:rPr>
        <w:t>1986</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3</w:t>
      </w:r>
      <w:r>
        <w:rPr>
          <w:rFonts w:ascii="仿宋_GB2312" w:hAnsi="仿宋_GB2312" w:hint="eastAsia" w:eastAsia="仿宋_GB2312"/>
          <w:sz w:val="32"/>
          <w:szCs w:val="32"/>
        </w:rPr>
        <w:t>日贵州省第六届人民代表大会常务委员会第二十次会议通过的《贵州省文物保护管理办法》同时废止。</w:t>
      </w:r>
    </w:p>
    <w:sectPr>
      <w:headerReference w:type="default" r:id="rId2"/>
      <w:footerReference w:type="default" r:id="rId3"/>
      <w:type w:val="nextPage"/>
      <w:pgSz w:w="11906" w:h="16838"/>
      <w:pgMar w:left="1588" w:right="1588" w:gutter="0" w:header="851"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6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9</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2018-01-16T10:38:00Z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2052-10.1.0.6930</vt:lpwstr>
  </property>
</Properties>
</file>