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_GBK;Arial Unicode MS" w:hAnsi="方正小标宋_GBK;Arial Unicode MS" w:eastAsia="方正小标宋_GBK;Arial Unicode MS" w:cs="方正小标宋_GBK;Arial Unicode MS"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贵州省体育条例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日贵州省第八届人民代表大会常务委员会第二十七次会议通过，</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日贵州省人民代表大会常务委员会公告公布施行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日贵州省第十二届人民代表大会常务委员会第十六次会议通过的《贵州省人民代表大会常务委员会关于修改〈贵州省渔业条例〉等五件法规个别条款的决定》第二次修正 </w:t>
      </w:r>
      <w:r>
        <w:rPr>
          <w:rFonts w:ascii="楷体_GB2312" w:hAnsi="楷体_GB2312" w:cs="楷体" w:hint="eastAsia" w:eastAsia="楷体_GB2312"/>
          <w:sz w:val="32"/>
          <w:szCs w:val="32"/>
        </w:rPr>
        <w:t xml:space="preserve">  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日贵州省第十二届人民代表大会常务委员会第三十二次会议通过的《贵州省人民代表大会常务委员会关于修改〈贵州省建筑市场管理条例〉等二十五件法规个别条款的决定》第三次修正</w:t>
      </w:r>
      <w:r>
        <w:rPr>
          <w:rFonts w:ascii="楷体_GB2312" w:hAnsi="楷体_GB2312" w:hint="eastAsia" w:eastAsia="楷体_GB2312"/>
          <w:sz w:val="32"/>
          <w:szCs w:val="32"/>
        </w:rPr>
        <w:t>）</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为了发展体育事业，增强人民体质，提高体育运动水平，促进社会主义物质文明和精神文明建设，根据《中华人民共和国体育法》和有关法律、法规的规定，结合本省实际，制定本条例。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体育工作坚持以全民健身活动为基础，实行普及与提高相结合，促进群众体育与竞技体育协调发展。</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各级人民政府应当将体育事业纳入国民经济和社会发展计划，将体育事业经费、体育基本建设资金列入本级财政预算和基本建设投资计划，并随着国民经济的发展逐步增加对体育事业的投入。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鼓励机关、团体、企业事业单位自筹资金发展体育事业，鼓励单位和个人对体育事业捐赠或者赞助。建立多渠道、多层次、多形式的体育经费投入机制。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体育事业经费必须专款专用，不得挪作他用。</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各级人民政府应当推进体育管理体制改革，支持、指导企业事业单位、社会团体和公民兴办体育事业。</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省人民政府体育行政部门主管全省的体育工作。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市、州及县级人民政府体育主管部门或者本级人民政府授权的机构主管本行政区域内的体育工作。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乡级人民政府和街道办事处应当有分工管理体育工作的人员，逐步完善基层体育组织。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人民政府其他有关行政部门在各自的职权范围内管理体育工作。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县级体育工作是体育工作的基础，人民政府应当在机构设置、人员配备、发展体育产业等方面给予支持。</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坚持研究和运用先进、实用的体育科学技术成果发展体育事业。</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对在体育事业中做出贡献的单位和个人，由人民政府或者有关部门给予表彰、奖励。</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第二章  社会体育</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各级人民政府应当推行全民健身计划，以城镇为中心，以青少年为重点，分层次向农村扩展，并采取切实可行的措施，为社会体育活动创造必要的条件。</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社会体育活动坚持业余、自愿、小型多样，遵循因地制宜和科学文明的原则。</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在全省实行社会体育指导员技术等级制度。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社会体育指导员是指通过专门评审、获得国家确认的等级称号、从事社会体育指导工作的人员。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社会体育指导员依照有关规定，可以在社会和本单位义务从事社会体育指导工作；可以开展体育技能传授、锻炼指导以及体育表演、体育咨询等有偿服务；可以应聘从事社会体育指导工作。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体育主管部门应当加强社会体育指导员队伍的建设、指导和管理。</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按照中国公民体质测定标准，在全省施行体质监测。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体育主管部门负责审定本地区体质检测场地和器材，培训检测人员，对体质测定的有偿服务进行指导和监督。</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各级人民政府应当重视发展民族体育，在财力、物力、技术及场地设施建设等方面帮助民族自治地方发展体育事业，大力培养少数民族体育人才；鼓励和支持民族、民间传统体育项目的发掘、整理和提高。</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民族自治地方的自治机关自主地发展体育事业，结合民族节日举行有利于身心健康的各种民族、民间传统体育竞赛活动。</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城市居民委员会和基层文化体育组织应当充分利用和创造条件，组织开展适合城市特点的社区体育活动。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农村应当发挥村民委员会和基层文化体育组织的作用，开展适合农村特点的民族、民间体育活动。</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机关、团体、企业事业单位应当根据各自特点，开展群众性的体育活动。</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各级人民政府和全社会应当关心支持老年人、残疾人参加体育活动，建立健全各级各类老年人、残疾人体育组织，并对其加强管理，分类指导。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残疾人组织和家庭应当帮助残疾人掌握方便、适用的健身方法，鼓励其积极参与体育活动。</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县级以上人民政府及其体育主管部门应当鼓励、支持体育社会团体按照章程，组织开展体育活动，推动体育事业的发展。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体育社会团体可以接受社会或者个人捐赠，依法从事体育经营活动。</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第三章  学校体育</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教育行政部门和各类学校应当将体育作为学校教育的组成部分，培养德、智、体等方面全面发展的人才。体育行政部门应当加强对学校体育工作的指导。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各类学校必须按照教学计划开设体育课，推行国家体育锻炼标准，组织并保障课外体育活动的开展，进行课余运动训练，开展学校体育竞赛，有条件的每年应当举行全校性的体育运动会。</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各类学校应当按照国家有关规定，配备具有良好思想品德和文化素质、掌握体育教育理论和教学方法的合格体育教师，并保障体育教师享受与其工作特点有关的待遇。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各级师范院校和有条件的大、中专学校应当加强对体育师资的培养、培训。</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各级人民政府应当按照国家有关部门的规定标准，制定规划，有计划地修建学校体育场地，配置设备和器材。教育行政部门应当把学校体育器材纳入教学仪器供应计划。新建、改扩建学校必须按照有关场地、设备和器材的规定进行规划、设计和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学校体育场地必须用于体育活动，不得挪作他用。</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第四章  竞技体育</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县级以上人民政府应当发展竞技体育，重视、支持对青少年儿童开展业余体育训练，为国家培养竞技体育后备人才和社会体育活动技术骨干。</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各级体育主管部门和运动员管理单位必须对运动员进行爱国主义、集体主义、社会主义教育以及职业道德、法制纪律教育，鼓励运动员提高运动技术水平，在体育竞赛中创造优异成绩，为国家争取荣誉。</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体育竞赛实行分级分类管理。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全省综合性运动会、本省承办的全国和国际体育竞赛，由省人民政府体育主管部门管理，或者会同有关单位管理。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全省单项体育竞赛由省人民政府体育主管部门或者该项运动的全省性协会负责管理。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市、州、县的体育竞赛由同级人民政府体育主管部门负责管理，或者会同有关单位管理。</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对优秀体育后备人才和退役优秀运动员的入学、升学，教育行政部门和各级各类学校应当给予优待。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对退役优秀运动员的就业，原输送地的人民政府和有关部门应当优待安置，对为国家作出重大贡献的，可以跨地区、跨部门安置。</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在本省境内举办的重大体育竞赛，其名称、徽记、旗帜及吉祥物等标志，依法予以保护。</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第五章  体育设施</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县级以上人民政府应当按照国家有关规定，兴建城市公共体育设施，并纳入城市总体规划和土地利用总体规划。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各级人民政府应当在学校比较密集的城镇地区，逐步建立青少年体育活动中心，并纳入城市总体规划。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乡、镇应当随着经济发展，逐步建设和完善体育设施。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提倡、鼓励社会和个人投资建设群众健身娱乐活动的场地设施，谁投资，谁受益。</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公共体育设施应当向社会开放，方便群众开展活动，对学生、老年人、残疾人实行优惠；专用体育设施也应当在保证正常训练、竞赛活动的前提下，向社会开放，提高体育设施的利用率。</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因特殊需要临时占用体育设施的，应当符合下列条件，并经县级人民政府体育主管部门批准：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（一）应当符合安全、卫生、环保方面的要求；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（二）必须使用符合国家标准的器材和设备；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（三）临时占用场地时间不得超过</w:t>
      </w:r>
      <w:r>
        <w:rPr>
          <w:rFonts w:eastAsia="仿宋_GB2312" w:hint="eastAsia" w:ascii="仿宋_GB2312" w:hAnsi="仿宋_GB2312"/>
          <w:sz w:val="32"/>
          <w:szCs w:val="32"/>
        </w:rPr>
        <w:t>10</w:t>
      </w:r>
      <w:r>
        <w:rPr>
          <w:rFonts w:ascii="仿宋_GB2312" w:hAnsi="仿宋_GB2312" w:hint="eastAsia" w:eastAsia="仿宋_GB2312"/>
          <w:sz w:val="32"/>
          <w:szCs w:val="32"/>
        </w:rPr>
        <w:t>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（四）符合法律、法规规定的其他条件。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符合前款规定条件，需要临时占用体育设施的，应当向县级人民政府体育主管部门提出申请，体育主管部门应当自收到申请之日起</w:t>
      </w:r>
      <w:r>
        <w:rPr>
          <w:rFonts w:eastAsia="仿宋_GB2312" w:hint="eastAsia" w:ascii="仿宋_GB2312" w:hAnsi="仿宋_GB2312"/>
          <w:sz w:val="32"/>
          <w:szCs w:val="32"/>
        </w:rPr>
        <w:t>45</w:t>
      </w:r>
      <w:r>
        <w:rPr>
          <w:rFonts w:ascii="仿宋_GB2312" w:hAnsi="仿宋_GB2312" w:hint="eastAsia" w:eastAsia="仿宋_GB2312"/>
          <w:sz w:val="32"/>
          <w:szCs w:val="32"/>
        </w:rPr>
        <w:t>日内转告有关部门分别提出意见后统一办理，并作出是否批准的决定。决定批准的，向申请人出具批准文件；决定不予批准的，应当书面通知申请人，并说明理由。</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按照城市规划改变体育场地用途的，应当按照不低于原面积、原标准先行择地新建补还。</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第六章  体育经营活动</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体育经营活动是指以营利为目的，以体育活动为内容和手段，以商品形式进行经营的活动，包括健身、娱乐、训练、竞赛、培训、表演等各类体育经营活动。</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体育事业单位应当充分发挥场馆、项目、技术的优势，发展体育产业，开展体育经营活动，拓宽经费来源渠道，增强体育事业的自我发展能力。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体育事业单位的经营收入应当依法加强管理。</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从事体育经营活动的组织或者个人，应当符合有关法律、法规规定的从业条件和标准，经工商行政管理部门登记注册。从事技击类项目传授活动的，应当向当地公安机关备案。</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省人民政府体育主管部门应当依照国家有关规定，制定各类体育经营活动的从业标准和审批程序。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县级以上人民政府体育主管部门负责培训体育经营管理人员和从业人员，对体育业务进行指导和帮助。</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侵占、破坏体育设施和擅自改变公共体育设施用途的，由同级人民政府及其体育主管部门责令其限期改正。造成经济损失的应当依法赔偿。</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违反治安管理的，由公安机关依照治安管理处罚的有关规定予以处罚。</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对在体育活动中，诈骗钱财，进行赌博，寻衅滋事，扰乱公共秩序等违反治安管理的，由公安机关依照有关法律法规处罚。</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违反国家财政制度、财务制度，挪用、克扣体育资金的，由上级主管机关责令其限期归还，对直接负责的主管人员和其他直接责任人员，依法给予行政处分。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未办理登记注册从事体育经营活动的或者在体育经营活动中有违法行为的，由有关部门依法予以处罚。</w:t>
      </w:r>
    </w:p>
    <w:p>
      <w:pPr>
        <w:pStyle w:val="Normal"/>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体育主管部门应当建立、健全内部监督机制，工作人员必须严格依法办事，廉洁奉公。对滥用职权、玩忽职守、徇私舞弊，尚不构成犯罪的，视情节依法给予行政处分。</w:t>
      </w:r>
    </w:p>
    <w:sectPr>
      <w:headerReference w:type="default" r:id="rId2"/>
      <w:footerReference w:type="default" r:id="rId3"/>
      <w:type w:val="nextPage"/>
      <w:pgSz w:w="11906" w:h="16838"/>
      <w:pgMar w:left="1531" w:right="1531" w:gutter="0" w:header="851" w:top="1814" w:footer="1304" w:bottom="1360"/>
      <w:pgNumType w:fmt="decimal"/>
      <w:formProt w:val="false"/>
      <w:textDirection w:val="lrTb"/>
      <w:docGrid w:type="lines" w:linePitch="29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黑体">
    <w:altName w:val="SimHei"/>
    <w:charset w:val="86"/>
    <w:family w:val="moder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455930" cy="303530"/>
              <wp:effectExtent l="0" t="0" r="0" b="0"/>
              <wp:wrapNone/>
              <wp:docPr id="1" name="Frame1"/>
              <a:graphic xmlns:a="http://schemas.openxmlformats.org/drawingml/2006/main">
                <a:graphicData uri="http://schemas.microsoft.com/office/word/2010/wordprocessingShape">
                  <wps:wsp>
                    <wps:cNvSpPr txBox="1"/>
                    <wps:spPr>
                      <a:xfrm>
                        <a:off x="0" y="0"/>
                        <a:ext cx="455930" cy="303530"/>
                      </a:xfrm>
                      <a:prstGeom prst="rect"/>
                      <a:solidFill>
                        <a:srgbClr val="FFFFFF">
                          <a:alpha val="0"/>
                        </a:srgbClr>
                      </a:solidFill>
                    </wps:spPr>
                    <wps:txbx>
                      <w:txbxContent>
                        <w:p>
                          <w:pPr>
                            <w:pStyle w:val="Footer"/>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w:t>
                          </w:r>
                        </w:p>
                      </w:txbxContent>
                    </wps:txbx>
                    <wps:bodyPr anchor="t" lIns="635" tIns="635" rIns="635" bIns="635">
                      <a:spAutoFit/>
                    </wps:bodyPr>
                  </wps:wsp>
                </a:graphicData>
              </a:graphic>
            </wp:anchor>
          </w:drawing>
        </mc:Choice>
        <mc:Fallback>
          <w:pict>
            <v:rect fillcolor="#FFFFFF" style="position:absolute;rotation:-0;width:35.9pt;height:23.9pt;mso-wrap-distance-left:9.05pt;mso-wrap-distance-right:0pt;mso-wrap-distance-top:0pt;mso-wrap-distance-bottom:0pt;margin-top:0pt;mso-position-vertical-relative:text;margin-left:406.3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CharChar">
    <w:name w:val="黑体 Char Char"/>
    <w:basedOn w:val="Style12"/>
    <w:qFormat/>
    <w:rPr>
      <w:rFonts w:ascii="黑体;SimHei" w:hAnsi="黑体;SimHei" w:eastAsia="黑体;SimHei" w:cs="黑体;SimHei"/>
      <w:sz w:val="24"/>
      <w:szCs w:val="21"/>
      <w:lang w:bidi="ar-SA"/>
    </w:rPr>
  </w:style>
  <w:style w:type="character" w:styleId="bt">
    <w:name w:val="bt"/>
    <w:basedOn w:val="Style12"/>
    <w:qFormat/>
    <w:rPr>
      <w:rFonts w:eastAsia="仿宋_GB2312"/>
      <w:sz w:val="32"/>
      <w:szCs w:val="24"/>
    </w:rPr>
  </w:style>
  <w:style w:type="character" w:styleId="Hyperlink">
    <w:name w:val="Hyperlink"/>
    <w:basedOn w:val="Style12"/>
    <w:rPr>
      <w:color w:val="0000FF"/>
      <w:u w:val="single"/>
    </w:rPr>
  </w:style>
  <w:style w:type="character" w:styleId="PageNumber">
    <w:name w:val="page number"/>
    <w:basedOn w:val="Style12"/>
    <w:rPr/>
  </w:style>
  <w:style w:type="character" w:styleId="Strong">
    <w:name w:val="Strong"/>
    <w:basedOn w:val="Style12"/>
    <w:qFormat/>
    <w:rPr>
      <w:b/>
    </w:rPr>
  </w:style>
  <w:style w:type="character" w:styleId="bd1">
    <w:name w:val="bd1"/>
    <w:basedOn w:val="Style12"/>
    <w:qFormat/>
    <w:rPr>
      <w:rFonts w:ascii="ˎ̥;Times New Roman" w:hAnsi="ˎ̥;Times New Roman" w:cs="ˎ̥;Times New Roman"/>
      <w:color w:val="000000"/>
      <w:sz w:val="16"/>
    </w:rPr>
  </w:style>
  <w:style w:type="character" w:styleId="15">
    <w:name w:val="15"/>
    <w:basedOn w:val="Style12"/>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首行缩进"/>
    <w:basedOn w:val="BodyText"/>
    <w:qFormat/>
    <w:pPr>
      <w:spacing w:before="0" w:after="120"/>
      <w:ind w:firstLineChars="100" w:startChars="0" w:start="0" w:endChars="0" w:end="0"/>
    </w:pPr>
    <w:rPr>
      <w:sz w:val="21"/>
    </w:rPr>
  </w:style>
  <w:style w:type="paragraph" w:styleId="NormalWeb">
    <w:name w:val="Normal (Web)"/>
    <w:basedOn w:val="Normal"/>
    <w:qFormat/>
    <w:pPr>
      <w:widowControl/>
      <w:jc w:val="start"/>
    </w:pPr>
    <w:rPr>
      <w:rFonts w:ascii="宋体;SimSun" w:hAnsi="宋体;SimSun" w:cs="宋体;SimSun"/>
      <w:kern w:val="0"/>
      <w:sz w:val="24"/>
    </w:rPr>
  </w:style>
  <w:style w:type="paragraph" w:styleId="BodyTextIndent">
    <w:name w:val="Body Text Indent"/>
    <w:basedOn w:val="Normal"/>
    <w:pPr>
      <w:ind w:firstLineChars="200" w:startChars="0" w:start="0" w:endChars="0" w:end="0"/>
    </w:pPr>
    <w:rPr>
      <w:rFonts w:ascii="仿宋_GB2312" w:hAnsi="仿宋_GB2312" w:eastAsia="仿宋_GB2312"/>
      <w:sz w:val="32"/>
    </w:rPr>
  </w:style>
  <w:style w:type="paragraph" w:styleId="CharCharChar1CharCharCharChar">
    <w:name w:val="Char Char Char1 Char Char Char Char"/>
    <w:basedOn w:val="Normal"/>
    <w:qFormat/>
    <w:pPr/>
    <w:rPr>
      <w:szCs w:val="20"/>
    </w:rPr>
  </w:style>
  <w:style w:type="paragraph" w:styleId="5">
    <w:name w:val="索引 5"/>
    <w:basedOn w:val="Normal"/>
    <w:next w:val="Normal"/>
    <w:qFormat/>
    <w:pPr>
      <w:ind w:hanging="0" w:start="1680" w:end="0"/>
    </w:pPr>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Char1CharCharChar">
    <w:name w:val="Char1 Char Char Char"/>
    <w:basedOn w:val="Normal"/>
    <w:qFormat/>
    <w:pPr>
      <w:widowControl/>
      <w:spacing w:lineRule="exact" w:line="240" w:before="0" w:after="160"/>
      <w:jc w:val="start"/>
    </w:pPr>
    <w:rPr>
      <w:szCs w:val="2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Char"/>
    <w:basedOn w:val="Normal"/>
    <w:qFormat/>
    <w:pPr/>
    <w:rPr/>
  </w:style>
  <w:style w:type="paragraph" w:styleId="p0">
    <w:name w:val="p0"/>
    <w:basedOn w:val="Normal"/>
    <w:qFormat/>
    <w:pPr>
      <w:widowControl/>
      <w:spacing w:lineRule="atLeast" w:line="365"/>
      <w:ind w:hanging="0" w:start="1" w:end="0"/>
    </w:pPr>
    <w:rPr>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CharCharChar">
    <w:name w:val="Char Char Char Char Char Char Char"/>
    <w:basedOn w:val="Normal"/>
    <w:qFormat/>
    <w:pPr/>
    <w:rPr>
      <w:rFonts w:eastAsia="仿宋_GB2312"/>
      <w:sz w:val="32"/>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eastAsia="仿宋_GB2312"/>
      <w:sz w:val="32"/>
    </w:rPr>
  </w:style>
  <w:style w:type="paragraph" w:styleId="Style18">
    <w:name w:val="黑体"/>
    <w:basedOn w:val="Normal"/>
    <w:qFormat/>
    <w:pPr>
      <w:spacing w:lineRule="exact" w:line="480"/>
      <w:ind w:firstLineChars="200" w:startChars="0" w:start="0" w:endChars="0" w:end="0"/>
    </w:pPr>
    <w:rPr>
      <w:rFonts w:ascii="黑体;SimHei" w:hAnsi="黑体;SimHei" w:eastAsia="黑体;SimHei" w:cs="黑体;SimHei"/>
      <w:kern w:val="0"/>
      <w:sz w:val="24"/>
      <w:szCs w:val="21"/>
      <w:lang w:val="en-US" w:eastAsia="en-US"/>
    </w:rPr>
  </w:style>
  <w:style w:type="paragraph" w:styleId="p15">
    <w:name w:val="p15"/>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2016-08-10T09:14:00Z</dcterms:created>
  <dc:creator>Administrator</dc:creator>
  <dc:description/>
  <cp:keywords/>
  <dc:language>en-US</dc:language>
  <cp:lastModifiedBy>Windows 用户</cp:lastModifiedBy>
  <cp:lastPrinted>2017-12-20T16:49:00Z</cp:lastPrinted>
  <dcterms:modified xsi:type="dcterms:W3CDTF">2017-12-21T11:19:00Z</dcterms:modified>
  <cp:revision>25</cp:revision>
  <dc:subject/>
  <dc:title>黔人常备〔2015〕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2052-9.1.0.5119</vt:lpwstr>
  </property>
</Properties>
</file>