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ind w:firstLineChars="200" w:startChars="0" w:start="0" w:endChars="0" w:end="0"/>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600"/>
        <w:jc w:val="center"/>
        <w:rPr>
          <w:rFonts w:ascii="方正小标宋简体" w:hAnsi="方正小标宋简体" w:eastAsia="方正小标宋简体" w:cs="宋体;SimSun" w:hint="eastAsia"/>
          <w:b/>
          <w:sz w:val="44"/>
          <w:szCs w:val="44"/>
        </w:rPr>
      </w:pPr>
      <w:r>
        <w:rPr>
          <w:rFonts w:ascii="方正小标宋简体" w:hAnsi="方正小标宋简体" w:cs="宋体;SimSun" w:hint="eastAsia" w:eastAsia="方正小标宋简体"/>
          <w:b/>
          <w:sz w:val="44"/>
          <w:szCs w:val="44"/>
        </w:rPr>
        <w:t>贵州省安全技术防范管理条例</w:t>
      </w:r>
    </w:p>
    <w:p>
      <w:pPr>
        <w:pStyle w:val="Normal"/>
        <w:spacing w:lineRule="exact" w:line="60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22</w:t>
      </w:r>
      <w:r>
        <w:rPr>
          <w:rFonts w:ascii="楷体_GB2312" w:hAnsi="楷体_GB2312" w:hint="eastAsia" w:eastAsia="楷体_GB2312"/>
          <w:sz w:val="32"/>
          <w:szCs w:val="32"/>
        </w:rPr>
        <w:t>日贵州省第十届人民代表大会常务委员会第五次会议通过，自</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 xml:space="preserve">日起施行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日贵州省第十二届人民代表大会常务委员会第三十二次会议通过的《贵州省人民代表大会常务委员会关于修改〈贵州省建筑市场管理条例〉等二十五件法规个别条款的决定》修正</w:t>
      </w:r>
      <w:r>
        <w:rPr>
          <w:rFonts w:ascii="楷体_GB2312" w:hAnsi="楷体_GB2312" w:hint="eastAsia" w:eastAsia="楷体_GB2312"/>
          <w:sz w:val="32"/>
          <w:szCs w:val="32"/>
        </w:rPr>
        <w:t>）</w:t>
      </w:r>
    </w:p>
    <w:p>
      <w:pPr>
        <w:pStyle w:val="Normal"/>
        <w:spacing w:lineRule="exact" w:line="600" w:before="291" w:after="291"/>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第一条 </w:t>
      </w:r>
      <w:r>
        <w:rPr>
          <w:rFonts w:ascii="仿宋_GB2312" w:hAnsi="仿宋_GB2312" w:hint="eastAsia" w:eastAsia="仿宋_GB2312"/>
          <w:sz w:val="32"/>
          <w:szCs w:val="32"/>
        </w:rPr>
        <w:t>为了加强安全技术防范管理工作，保障国家、集体财产和公民生命、财产安全及其他合法权益，维护公共安全和社会治安秩序稳定，根据有关法律、法规的规定，结合本省实际，制定本条例。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在本省行政区域内从事安全技术防范产品生产、销售和安全技术防范系统设计、施工、维修、使用等活动，适用本条例。</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本条例所称安全技术防范（以下简称技防），是指运用科学技术手段，预防、发现、制止盗窃、抢劫、非法入侵、破坏、爆炸等违法犯罪行为和重大治安事故的活动。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本条例所称安全技术防范产品（以下简称技防产品），是指用于防盗窃、防抢劫、防爆炸等防止国家、集体、个人财产以及人身安全受到侵害的并列入《安全技术防范产品目录》的专用产品。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本条例所称安全技术防范系统（以下简称技防系统），是指以维护公共安全和社会治安秩序稳定为目的，综合应用现代科学技术手段和技防产品组成的系统。</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各级人民政府应当加强对技防工作的领导，将其纳入社会治安综合治理目标管理范围，督促有关部门做好管理工作。</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省公安机关负责全省技防工作的监督管理。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县级以上公安机关负责本行政区域内技防工作的监督管理。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有关行政管理部门应当在各自的职责范围内，做好技防管理工作。</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第六条 </w:t>
      </w:r>
      <w:r>
        <w:rPr>
          <w:rFonts w:ascii="仿宋_GB2312" w:hAnsi="仿宋_GB2312" w:hint="eastAsia" w:eastAsia="仿宋_GB2312"/>
          <w:sz w:val="32"/>
          <w:szCs w:val="32"/>
        </w:rPr>
        <w:t>国家机关、社会团体、企业事业单位应当根据规定落实技防措施，提高安全防范能力，做好本单位的技防工作。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新闻单位对技防设施涉密事项进行的公开报道，应当遵守国家有关保密规定。</w:t>
      </w:r>
    </w:p>
    <w:p>
      <w:pPr>
        <w:pStyle w:val="Normal"/>
        <w:spacing w:lineRule="exact" w:line="600" w:before="291" w:after="291"/>
        <w:jc w:val="center"/>
        <w:rPr>
          <w:rFonts w:ascii="黑体;SimHei" w:hAnsi="黑体;SimHei" w:eastAsia="黑体;SimHei" w:hint="eastAsia"/>
          <w:sz w:val="32"/>
          <w:szCs w:val="32"/>
        </w:rPr>
      </w:pPr>
      <w:r>
        <w:rPr>
          <w:rFonts w:ascii="黑体;SimHei" w:hAnsi="黑体;SimHei" w:hint="eastAsia" w:eastAsia="黑体;SimHei"/>
          <w:sz w:val="32"/>
          <w:szCs w:val="32"/>
        </w:rPr>
        <w:t>第二章  技防预警与服务</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公安机关应当建立和完善人防、物防、技防相结合的社会治安防控体系，增强全社会预防和控制犯罪的能力。</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县级以上公安机关负责规划、指导本行政区域内报警网络的建设。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安装报警装置的单位应当与当地公安机关联网，使装置报警系统的场所或者部位形成多级报警格局。</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技防系统的使用单位，应当制定技防设施的使用、维护和更新制度，保证系统的正常运行，并建立、健全值班备勤制度和警讯紧急处置预案。</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县级以上公安机关应当合理布置警力，接警人员应当</w:t>
      </w:r>
      <w:r>
        <w:rPr>
          <w:rFonts w:eastAsia="仿宋_GB2312" w:hint="eastAsia" w:ascii="仿宋_GB2312" w:hAnsi="仿宋_GB2312"/>
          <w:sz w:val="32"/>
          <w:szCs w:val="32"/>
        </w:rPr>
        <w:t>24</w:t>
      </w:r>
      <w:r>
        <w:rPr>
          <w:rFonts w:ascii="仿宋_GB2312" w:hAnsi="仿宋_GB2312" w:hint="eastAsia" w:eastAsia="仿宋_GB2312"/>
          <w:sz w:val="32"/>
          <w:szCs w:val="32"/>
        </w:rPr>
        <w:t>小时值班，并在接到技防系统的报警后迅速出警，及时制止违法犯罪活动。</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公安机关及其工作人员不得向装置技防产品或者技防系统的单位和个人指定产品品牌、销售单位或者技防系统的设计、施工、维修单位。</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鼓励、支持技防科学研究，发展技防产业，推广使用先进的技防产品、技防设施。</w:t>
      </w:r>
    </w:p>
    <w:p>
      <w:pPr>
        <w:pStyle w:val="Normal"/>
        <w:spacing w:lineRule="exact" w:line="600" w:before="291" w:after="291"/>
        <w:jc w:val="center"/>
        <w:rPr>
          <w:rFonts w:ascii="黑体;SimHei" w:hAnsi="黑体;SimHei" w:eastAsia="黑体;SimHei" w:hint="eastAsia"/>
          <w:sz w:val="32"/>
          <w:szCs w:val="32"/>
        </w:rPr>
      </w:pPr>
      <w:r>
        <w:rPr>
          <w:rFonts w:ascii="黑体;SimHei" w:hAnsi="黑体;SimHei" w:hint="eastAsia" w:eastAsia="黑体;SimHei"/>
          <w:sz w:val="32"/>
          <w:szCs w:val="32"/>
        </w:rPr>
        <w:t>第三章  技防装置范围</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下列部位或者场所应当装置符合技防标准的技防产品或者技防系统：</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（一）武器、弹药及易燃、易爆、剧毒、放射性物品，致病性细菌、病毒，易制毒化学品的生产或者存放场所；</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（二）集中存放重要档案资料的馆、库、室；</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（三）博物馆及集中陈列、存放重要文物和珍贵的民族民间文化资料、实物的场所；</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（四）制造或者集中存放货币、有价证券、票据的场所，金融机构的重要部位；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（五）广播、电视、电信、邮政及供水、供气、电力单位的重要部位；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（六）机场、大型车站、大型码头及道路交通的重要部位；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（七）星级酒店、大型公共娱乐场所和大型商场的主要出入口和其他主要通道。</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前款所列部位或者场所国家有规定的，从其规定；国家尚未规定的，由省人民政府规定。</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住宅小区、机动车停车场等场所或者部位，可以自愿装置技防产品或者技防系统。</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第十五条 </w:t>
      </w:r>
      <w:r>
        <w:rPr>
          <w:rFonts w:ascii="仿宋_GB2312" w:hAnsi="仿宋_GB2312" w:hint="eastAsia" w:eastAsia="仿宋_GB2312"/>
          <w:sz w:val="32"/>
          <w:szCs w:val="32"/>
        </w:rPr>
        <w:t>任何单位和个人不得非法利用技防产品、技防系统或者技防维修技术侵犯他人的合法权益。</w:t>
      </w:r>
    </w:p>
    <w:p>
      <w:pPr>
        <w:pStyle w:val="Normal"/>
        <w:spacing w:lineRule="exact" w:line="600" w:before="291" w:after="291"/>
        <w:jc w:val="center"/>
        <w:rPr>
          <w:rFonts w:ascii="黑体;SimHei" w:hAnsi="黑体;SimHei" w:eastAsia="黑体;SimHei" w:hint="eastAsia"/>
          <w:sz w:val="32"/>
          <w:szCs w:val="32"/>
        </w:rPr>
      </w:pPr>
      <w:r>
        <w:rPr>
          <w:rFonts w:ascii="黑体;SimHei" w:hAnsi="黑体;SimHei" w:hint="eastAsia" w:eastAsia="黑体;SimHei"/>
          <w:sz w:val="32"/>
          <w:szCs w:val="32"/>
        </w:rPr>
        <w:t>第四章  技防产品</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对未能纳入工业产品生产许可证制度、强制性认证制度管理的技防产品，实行生产登记制度。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实行生产登记制度的技防产品，必须经省公安机关批准生产登记后，方能生产销售。</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申请技防产品生产登记的，应当持下列资料向所在地市、州、地公安机关提出申请：</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（一）生产登记申请书；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（二）营业执照；</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（三）符合法定要求的产品标准；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（四）法定产品质量检验机构出具的型式检验报告。</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市、州、地公安机关应当自收到技防产品生产登记申请之日起</w:t>
      </w:r>
      <w:r>
        <w:rPr>
          <w:rFonts w:eastAsia="仿宋_GB2312" w:hint="eastAsia" w:ascii="仿宋_GB2312" w:hAnsi="仿宋_GB2312"/>
          <w:sz w:val="32"/>
          <w:szCs w:val="32"/>
        </w:rPr>
        <w:t>15</w:t>
      </w:r>
      <w:r>
        <w:rPr>
          <w:rFonts w:ascii="仿宋_GB2312" w:hAnsi="仿宋_GB2312" w:hint="eastAsia" w:eastAsia="仿宋_GB2312"/>
          <w:sz w:val="32"/>
          <w:szCs w:val="32"/>
        </w:rPr>
        <w:t>日内完成初审。初审合格的，报送省公安机关核准；初审不合格的，退回申请并说明理由。</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省公安机关应当自收到初审意见之日起</w:t>
      </w:r>
      <w:r>
        <w:rPr>
          <w:rFonts w:eastAsia="仿宋_GB2312" w:hint="eastAsia" w:ascii="仿宋_GB2312" w:hAnsi="仿宋_GB2312"/>
          <w:sz w:val="32"/>
          <w:szCs w:val="32"/>
        </w:rPr>
        <w:t>7</w:t>
      </w:r>
      <w:r>
        <w:rPr>
          <w:rFonts w:ascii="仿宋_GB2312" w:hAnsi="仿宋_GB2312" w:hint="eastAsia" w:eastAsia="仿宋_GB2312"/>
          <w:sz w:val="32"/>
          <w:szCs w:val="32"/>
        </w:rPr>
        <w:t>日内，对符合条件的，核发生产登记批准书；对不符合条件的，作出不批准的决定并说明理由。</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生产技防产品的单位，应当严格执行质量技术监督法律、法规的有关规定，保证产品符合有关质量标准。</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经营技防产品的单位和个人，应当到县级以上公安机关备案，并实行进货检查验证制度，验明生产单位的产品质量检验合格证明和工业产品生产许可证证书或者安全认证证书或者生产登记批准书。</w:t>
      </w:r>
    </w:p>
    <w:p>
      <w:pPr>
        <w:pStyle w:val="Normal"/>
        <w:spacing w:lineRule="exact" w:line="600" w:before="291" w:after="291"/>
        <w:jc w:val="center"/>
        <w:rPr>
          <w:rFonts w:ascii="黑体;SimHei" w:hAnsi="黑体;SimHei" w:eastAsia="黑体;SimHei" w:hint="eastAsia"/>
          <w:sz w:val="32"/>
          <w:szCs w:val="32"/>
        </w:rPr>
      </w:pPr>
      <w:r>
        <w:rPr>
          <w:rFonts w:ascii="黑体;SimHei" w:hAnsi="黑体;SimHei" w:hint="eastAsia" w:eastAsia="黑体;SimHei"/>
          <w:sz w:val="32"/>
          <w:szCs w:val="32"/>
        </w:rPr>
        <w:t>第五章  技防系统</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技防工程设计规范由公安机关会同建设行政主管部门制定，并纳入建筑工程设计规范。设计部门在进行建筑设计时，应当遵守技防工程建筑设计规范。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技防系统的设计方案应当执行国家有关标准，并报县级以上公安机关备案；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技防工程竣工后，由建设单位按照技防系统验收规则组织验收，并应当有县级以上公安机关参加；技防系统验收不合格的，限期整改。</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建设单位或者总承包单位不得将技防系统工程发包给不符合国家规定条件的单位或者个人设计、施工、维修。</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承接技防系统设计、施工和维修业务的，应当持中标通知书或者承包合同向县级以上公安机关备案。</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技防系统的设计、施工、验收、维修、建设和使用单位应当妥善保管技防系统的设计图纸和相关资料，制定安全保密制度。</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技防系统竣工验收前，应当经公安部授权的检测机构按照国家标准进行系统检测，检测工作由县级以上公安机关及时组织实施。</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涉及国家安全、国家秘密的技防系统的设计、施工和维修，按照国家有关规定执行。</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对已经装置运行的技防系统，任何单位和个人不得有下列行为：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（一）毁坏技防系统的设备、设施；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（二）破坏、删除、修改技防系统的运行程序和记录；</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（三）擅自改变技防系统的用途和范围；</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（四）泄露技防系统的秘密；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（五）擅自使用技防系统的记录资料。</w:t>
      </w:r>
    </w:p>
    <w:p>
      <w:pPr>
        <w:pStyle w:val="Normal"/>
        <w:spacing w:lineRule="exact" w:line="600" w:before="291" w:after="291"/>
        <w:jc w:val="center"/>
        <w:rPr>
          <w:rFonts w:ascii="黑体;SimHei" w:hAnsi="黑体;SimHei" w:eastAsia="黑体;SimHei" w:hint="eastAsia"/>
          <w:sz w:val="32"/>
          <w:szCs w:val="32"/>
        </w:rPr>
      </w:pPr>
      <w:r>
        <w:rPr>
          <w:rFonts w:ascii="黑体;SimHei" w:hAnsi="黑体;SimHei" w:hint="eastAsia" w:eastAsia="黑体;SimHei"/>
          <w:sz w:val="32"/>
          <w:szCs w:val="32"/>
        </w:rPr>
        <w:t>第六章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公安机关及其工作人员违反本条例规定，有下列行为之一，尚不构成犯罪的，对直接负责的主管人员和其他直接责任人员依法给予行政处分：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（一）指定技防产品的品牌、销售单位或者技防系统的设计、施工、维修单位的；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（二）滥用审批权限的；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（三）不履行或者不及时履行职责、发现违法行为不予查处的；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（四）利用职务上的便利收取他人财物或者获取其他利益的；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（五）有其他玩忽职守、滥用职权、徇私舞弊行为的。</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违反本条例第十三条第一款规定，由县级以上公安机关依法给予警告，并责令限期改正；逾期不改正的，对单位处以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造成严重后果的，对单位处以</w:t>
      </w:r>
      <w:r>
        <w:rPr>
          <w:rFonts w:eastAsia="仿宋_GB2312" w:hint="eastAsia" w:ascii="仿宋_GB2312" w:hAnsi="仿宋_GB2312"/>
          <w:sz w:val="32"/>
          <w:szCs w:val="32"/>
        </w:rPr>
        <w:t>3</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万元以下罚款，对单位直接负责的主管人员和其他直接责任人员处以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第三十条 </w:t>
      </w:r>
      <w:r>
        <w:rPr>
          <w:rFonts w:ascii="仿宋_GB2312" w:hAnsi="仿宋_GB2312" w:hint="eastAsia" w:eastAsia="仿宋_GB2312"/>
          <w:sz w:val="32"/>
          <w:szCs w:val="32"/>
        </w:rPr>
        <w:t>违反本条例第十五条规定，依法予以处罚，尚不构成犯罪的，由</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县级以上公安机关处以</w:t>
      </w:r>
      <w:r>
        <w:rPr>
          <w:rFonts w:eastAsia="仿宋_GB2312" w:hint="eastAsia" w:ascii="仿宋_GB2312" w:hAnsi="仿宋_GB2312"/>
          <w:sz w:val="32"/>
          <w:szCs w:val="32"/>
        </w:rPr>
        <w:t>1000</w:t>
      </w:r>
      <w:r>
        <w:rPr>
          <w:rFonts w:ascii="仿宋_GB2312" w:hAnsi="仿宋_GB2312" w:hint="eastAsia" w:eastAsia="仿宋_GB2312"/>
          <w:sz w:val="32"/>
          <w:szCs w:val="32"/>
        </w:rPr>
        <w:t>元以上１万元以下罚款。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违反本条例第十六条第二款、第二十一条第二款、第二十二条规定，除有关法律、法规另有规定外，由县级以上公安机关给予警告，责令限期改正，有违法所得的，没收违法所得；逾期不改正的，处以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违反本条例第二十条、第二十三条规定，由县级以上公安机关给予警告，责令限期改正，有违法所得的，没收违法所得；逾期不改正的，处以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单位违反本条例第二十七条规定，尚不构成犯罪的，由县级以上公安机关依法给予警告，责令限期改正；逾期不改正的，处以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万元以下罚款，并对直接负责的主管人员和其他直接责任人员处以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个人违反本条例第二十七条规定，尚不构成犯罪的，由县级以上公安机关给予警告，责令限期改正；逾期不改正的，处以</w:t>
      </w:r>
      <w:r>
        <w:rPr>
          <w:rFonts w:eastAsia="仿宋_GB2312" w:hint="eastAsia" w:ascii="仿宋_GB2312" w:hAnsi="仿宋_GB2312"/>
          <w:sz w:val="32"/>
          <w:szCs w:val="32"/>
        </w:rPr>
        <w:t>1000</w:t>
      </w:r>
      <w:r>
        <w:rPr>
          <w:rFonts w:ascii="仿宋_GB2312" w:hAnsi="仿宋_GB2312" w:hint="eastAsia" w:eastAsia="仿宋_GB2312"/>
          <w:sz w:val="32"/>
          <w:szCs w:val="32"/>
        </w:rPr>
        <w:t>元以上１万元以下罚款。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伪造、变造、涂改技防产品或者技防系统有关证书，尚不构成犯罪的，由县级以上公安机关处以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万元以下罚款，有违法所得的，没收违法所得。</w:t>
      </w:r>
    </w:p>
    <w:sectPr>
      <w:footerReference w:type="default" r:id="rId2"/>
      <w:type w:val="nextPage"/>
      <w:pgSz w:w="11906" w:h="16838"/>
      <w:pgMar w:left="1588" w:right="1588" w:gutter="0" w:header="0" w:top="1814" w:footer="1304" w:bottom="1360"/>
      <w:pgNumType w:fmt="decimal"/>
      <w:formProt w:val="false"/>
      <w:textDirection w:val="lrTb"/>
      <w:docGrid w:type="lines" w:linePitch="29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6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2016-09-29T16:17:00Z</dcterms:created>
  <dc:creator>YLmF</dc:creator>
  <dc:description/>
  <cp:keywords/>
  <dc:language>en-US</dc:language>
  <cp:lastModifiedBy>Windows 用户</cp:lastModifiedBy>
  <dcterms:modified xsi:type="dcterms:W3CDTF">2018-01-16T10:34:00Z</dcterms:modified>
  <cp:revision>3</cp:revision>
  <dc:subject/>
  <dc:title>贵州省安全技术防范管理条例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