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hint="eastAsia"/>
          <w:sz w:val="44"/>
          <w:szCs w:val="44"/>
        </w:rPr>
      </w:pPr>
      <w:r>
        <w:rPr>
          <w:rFonts w:hint="eastAsia"/>
          <w:sz w:val="44"/>
          <w:szCs w:val="44"/>
        </w:rPr>
      </w:r>
    </w:p>
    <w:p>
      <w:pPr>
        <w:pStyle w:val="Normal"/>
        <w:spacing w:lineRule="exact" w:line="576"/>
        <w:jc w:val="center"/>
        <w:rPr>
          <w:rFonts w:hint="eastAsia"/>
          <w:sz w:val="44"/>
          <w:szCs w:val="44"/>
        </w:rPr>
      </w:pPr>
      <w:r>
        <w:rPr>
          <w:rFonts w:hint="eastAsia"/>
          <w:sz w:val="44"/>
          <w:szCs w:val="44"/>
        </w:rPr>
      </w:r>
    </w:p>
    <w:p>
      <w:pPr>
        <w:pStyle w:val="Normal"/>
        <w:spacing w:lineRule="exact" w:line="576"/>
        <w:jc w:val="center"/>
        <w:rPr>
          <w:sz w:val="44"/>
          <w:szCs w:val="44"/>
        </w:rPr>
      </w:pPr>
      <w:r>
        <w:rPr>
          <w:sz w:val="44"/>
          <w:szCs w:val="44"/>
        </w:rPr>
        <w:t>广安市城市公共汽车客运安全规定</w:t>
      </w:r>
    </w:p>
    <w:p>
      <w:pPr>
        <w:pStyle w:val="Normal"/>
        <w:spacing w:lineRule="exact" w:line="576"/>
        <w:jc w:val="center"/>
        <w:rPr>
          <w:rFonts w:eastAsia="方正楷体_GBK"/>
          <w:spacing w:val="-14"/>
          <w:sz w:val="28"/>
          <w:szCs w:val="28"/>
        </w:rPr>
      </w:pPr>
      <w:r>
        <w:rPr>
          <w:rFonts w:eastAsia="方正楷体_GBK"/>
          <w:spacing w:val="-14"/>
          <w:sz w:val="28"/>
          <w:szCs w:val="28"/>
        </w:rPr>
      </w:r>
    </w:p>
    <w:p>
      <w:pPr>
        <w:pStyle w:val="Normal"/>
        <w:spacing w:lineRule="exact" w:line="576"/>
        <w:ind w:firstLineChars="0" w:firstLine="0" w:startChars="300" w:endChars="300"/>
        <w:jc w:val="center"/>
        <w:rPr/>
      </w:pPr>
      <w:r>
        <w:rPr>
          <w:rFonts w:eastAsia="楷体_GB2312"/>
          <w:sz w:val="32"/>
          <w:szCs w:val="32"/>
        </w:rPr>
        <w:t>（</w:t>
      </w:r>
      <w:r>
        <w:rPr>
          <w:rFonts w:eastAsia="楷体_GB2312"/>
          <w:sz w:val="32"/>
          <w:szCs w:val="32"/>
        </w:rPr>
        <w:t>2019</w:t>
      </w:r>
      <w:r>
        <w:rPr>
          <w:rFonts w:eastAsia="楷体_GB2312"/>
          <w:sz w:val="32"/>
          <w:szCs w:val="32"/>
        </w:rPr>
        <w:t>年</w:t>
      </w:r>
      <w:r>
        <w:rPr>
          <w:rFonts w:eastAsia="楷体_GB2312"/>
          <w:sz w:val="32"/>
          <w:szCs w:val="32"/>
        </w:rPr>
        <w:t>3</w:t>
      </w:r>
      <w:r>
        <w:rPr>
          <w:rFonts w:eastAsia="楷体_GB2312"/>
          <w:sz w:val="32"/>
          <w:szCs w:val="32"/>
        </w:rPr>
        <w:t>月</w:t>
      </w:r>
      <w:r>
        <w:rPr>
          <w:rFonts w:eastAsia="楷体_GB2312"/>
          <w:sz w:val="32"/>
          <w:szCs w:val="32"/>
        </w:rPr>
        <w:t>21</w:t>
      </w:r>
      <w:r>
        <w:rPr>
          <w:rFonts w:eastAsia="楷体_GB2312"/>
          <w:sz w:val="32"/>
          <w:szCs w:val="32"/>
        </w:rPr>
        <w:t>日广安市第五届人民代表大会常务委员会第十九次会议通过</w:t>
      </w:r>
      <w:r>
        <w:rPr>
          <w:rFonts w:hint="eastAsia" w:eastAsia="楷体_GB2312"/>
          <w:sz w:val="32"/>
          <w:szCs w:val="32"/>
        </w:rPr>
        <w:t xml:space="preserve">  </w:t>
      </w:r>
      <w:r>
        <w:rPr>
          <w:rFonts w:eastAsia="楷体_GB2312"/>
          <w:sz w:val="32"/>
          <w:szCs w:val="32"/>
        </w:rPr>
        <w:t>2019</w:t>
      </w:r>
      <w:r>
        <w:rPr>
          <w:rFonts w:eastAsia="楷体_GB2312"/>
          <w:sz w:val="32"/>
          <w:szCs w:val="32"/>
        </w:rPr>
        <w:t>年</w:t>
      </w:r>
      <w:r>
        <w:rPr>
          <w:rFonts w:eastAsia="楷体_GB2312"/>
          <w:sz w:val="32"/>
          <w:szCs w:val="32"/>
        </w:rPr>
        <w:t>5</w:t>
      </w:r>
      <w:r>
        <w:rPr>
          <w:rFonts w:eastAsia="楷体_GB2312"/>
          <w:sz w:val="32"/>
          <w:szCs w:val="32"/>
        </w:rPr>
        <w:t>月</w:t>
      </w:r>
      <w:r>
        <w:rPr>
          <w:rFonts w:eastAsia="楷体_GB2312"/>
          <w:sz w:val="32"/>
          <w:szCs w:val="32"/>
        </w:rPr>
        <w:t>23</w:t>
      </w:r>
      <w:r>
        <w:rPr>
          <w:rFonts w:eastAsia="楷体_GB2312"/>
          <w:sz w:val="32"/>
          <w:szCs w:val="32"/>
        </w:rPr>
        <w:t>日四川省第十三届人民代表大会常务委员会第十一次会议批准）</w:t>
      </w:r>
    </w:p>
    <w:p>
      <w:pPr>
        <w:pStyle w:val="Normal"/>
        <w:spacing w:lineRule="exact" w:line="576"/>
        <w:rPr>
          <w:rFonts w:eastAsia="方正楷体_GBK"/>
          <w:kern w:val="0"/>
          <w:sz w:val="33"/>
          <w:szCs w:val="33"/>
        </w:rPr>
      </w:pPr>
      <w:r>
        <w:rPr>
          <w:rFonts w:eastAsia="方正楷体_GBK"/>
          <w:kern w:val="0"/>
          <w:sz w:val="33"/>
          <w:szCs w:val="33"/>
        </w:rPr>
      </w:r>
    </w:p>
    <w:p>
      <w:pPr>
        <w:pStyle w:val="Normal"/>
        <w:spacing w:lineRule="exact" w:line="576"/>
        <w:ind w:firstLineChars="200" w:startChars="0" w:start="0" w:endChars="0" w:end="0"/>
        <w:rPr>
          <w:rFonts w:eastAsia="仿宋_GB2312"/>
          <w:kern w:val="0"/>
          <w:sz w:val="32"/>
          <w:szCs w:val="32"/>
        </w:rPr>
      </w:pPr>
      <w:r>
        <w:rPr>
          <w:rFonts w:eastAsia="黑体;SimHei"/>
          <w:kern w:val="0"/>
          <w:sz w:val="32"/>
          <w:szCs w:val="32"/>
        </w:rPr>
        <w:t>第一条</w:t>
      </w:r>
      <w:r>
        <w:rPr>
          <w:rFonts w:eastAsia="仿宋_GB2312"/>
          <w:kern w:val="0"/>
          <w:sz w:val="32"/>
          <w:szCs w:val="32"/>
        </w:rPr>
        <w:t xml:space="preserve">  </w:t>
      </w:r>
      <w:r>
        <w:rPr>
          <w:rFonts w:eastAsia="仿宋_GB2312"/>
          <w:color w:val="000000"/>
          <w:kern w:val="0"/>
          <w:sz w:val="32"/>
          <w:szCs w:val="32"/>
        </w:rPr>
        <w:t>为了规范城市公共汽车客运秩序，倡导文明乘车，保障运行安全，保护乘车人、驾驶人人身财产安全，根据有关法律法规，结合广安市实际，制定本规定。</w:t>
      </w:r>
    </w:p>
    <w:p>
      <w:pPr>
        <w:pStyle w:val="Normal"/>
        <w:spacing w:lineRule="exact" w:line="576"/>
        <w:ind w:firstLineChars="200" w:startChars="0" w:start="0" w:endChars="0" w:end="0"/>
        <w:rPr/>
      </w:pPr>
      <w:r>
        <w:rPr>
          <w:rFonts w:eastAsia="黑体;SimHei"/>
          <w:kern w:val="0"/>
          <w:sz w:val="32"/>
          <w:szCs w:val="32"/>
        </w:rPr>
        <w:t>第二条</w:t>
      </w:r>
      <w:r>
        <w:rPr>
          <w:rFonts w:eastAsia="仿宋_GB2312"/>
          <w:color w:val="000000"/>
          <w:kern w:val="0"/>
          <w:sz w:val="32"/>
          <w:szCs w:val="32"/>
        </w:rPr>
        <w:t xml:space="preserve">  本规定所称城市公共汽车客运，是指在市、县级人民政府确定的区域内，运用符合国家有关标准和规定的城市公共汽车和客运服务设施，按照核准的线路、站点、时间和票价运营，为社会公众提供基本出行服务的活动。</w:t>
      </w:r>
    </w:p>
    <w:p>
      <w:pPr>
        <w:pStyle w:val="Normal"/>
        <w:spacing w:lineRule="exact" w:line="576"/>
        <w:ind w:firstLineChars="200" w:startChars="0" w:start="0" w:endChars="0" w:end="0"/>
        <w:rPr/>
      </w:pPr>
      <w:r>
        <w:rPr>
          <w:rFonts w:eastAsia="仿宋_GB2312"/>
          <w:color w:val="000000"/>
          <w:kern w:val="0"/>
          <w:sz w:val="32"/>
          <w:szCs w:val="32"/>
        </w:rPr>
        <w:t>本</w:t>
      </w:r>
      <w:r>
        <w:rPr>
          <w:rFonts w:eastAsia="仿宋_GB2312"/>
          <w:color w:val="000000"/>
          <w:spacing w:val="-4"/>
          <w:kern w:val="0"/>
          <w:sz w:val="32"/>
          <w:szCs w:val="32"/>
        </w:rPr>
        <w:t>市行政区域内城市公共汽车驾驶人、乘车人、运营企业以及与城市公共汽车客运安全有关的单位和个人，应当遵守本规定。</w:t>
      </w:r>
    </w:p>
    <w:p>
      <w:pPr>
        <w:pStyle w:val="Normal"/>
        <w:spacing w:lineRule="exact" w:line="576"/>
        <w:ind w:firstLineChars="200" w:startChars="0" w:start="0" w:endChars="0" w:end="0"/>
        <w:rPr/>
      </w:pPr>
      <w:r>
        <w:rPr>
          <w:rFonts w:eastAsia="黑体;SimHei"/>
          <w:kern w:val="0"/>
          <w:sz w:val="32"/>
          <w:szCs w:val="32"/>
        </w:rPr>
        <w:t>第三条</w:t>
      </w:r>
      <w:r>
        <w:rPr>
          <w:rFonts w:eastAsia="仿宋_GB2312"/>
          <w:kern w:val="0"/>
          <w:sz w:val="32"/>
          <w:szCs w:val="32"/>
        </w:rPr>
        <w:t xml:space="preserve">  法律、法规对城市公共汽车客运安全已有规定的，从其规定。</w:t>
      </w:r>
    </w:p>
    <w:p>
      <w:pPr>
        <w:pStyle w:val="Normal"/>
        <w:spacing w:lineRule="exact" w:line="576"/>
        <w:ind w:firstLineChars="200" w:startChars="0" w:start="0" w:endChars="0" w:end="0"/>
        <w:rPr>
          <w:rFonts w:eastAsia="仿宋_GB2312"/>
          <w:kern w:val="0"/>
          <w:sz w:val="32"/>
          <w:szCs w:val="32"/>
        </w:rPr>
      </w:pPr>
      <w:r>
        <w:rPr>
          <w:rFonts w:eastAsia="黑体;SimHei"/>
          <w:kern w:val="0"/>
          <w:sz w:val="32"/>
          <w:szCs w:val="32"/>
        </w:rPr>
        <w:t>第四条</w:t>
      </w:r>
      <w:r>
        <w:rPr>
          <w:rFonts w:eastAsia="仿宋_GB2312"/>
          <w:kern w:val="0"/>
          <w:sz w:val="32"/>
          <w:szCs w:val="32"/>
        </w:rPr>
        <w:t xml:space="preserve">  </w:t>
      </w:r>
      <w:r>
        <w:rPr>
          <w:rFonts w:eastAsia="仿宋_GB2312"/>
          <w:color w:val="000000"/>
          <w:kern w:val="0"/>
          <w:sz w:val="32"/>
          <w:szCs w:val="32"/>
        </w:rPr>
        <w:t>城市公共汽车驾驶人应当保护乘车人的人身财产安全，遵守下列规定</w:t>
      </w:r>
      <w:r>
        <w:rPr>
          <w:rFonts w:eastAsia="仿宋_GB2312"/>
          <w:color w:val="000000"/>
          <w:kern w:val="0"/>
          <w:sz w:val="32"/>
          <w:szCs w:val="32"/>
        </w:rPr>
        <w:t>:</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（一）遵守道路交通安全法律、法规，按照操作规范安全驾驶、文明驾驶；</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（二）不得在饮酒后驾驶城市公共汽车；</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（三）不得在服用国家管制的精神药品或者麻醉药品后驾驶城市公共汽车；</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（四）不得在患有妨碍安全驾驶机动车的疾病或者过度疲劳时驾驶城市公共汽车；</w:t>
      </w:r>
    </w:p>
    <w:p>
      <w:pPr>
        <w:pStyle w:val="Normal"/>
        <w:spacing w:lineRule="exact" w:line="576"/>
        <w:ind w:firstLineChars="200" w:startChars="0" w:start="0" w:endChars="0" w:end="0"/>
        <w:rPr/>
      </w:pPr>
      <w:r>
        <w:rPr>
          <w:rFonts w:eastAsia="仿宋_GB2312"/>
          <w:color w:val="000000"/>
          <w:kern w:val="0"/>
          <w:sz w:val="32"/>
          <w:szCs w:val="32"/>
        </w:rPr>
        <w:t>（五）</w:t>
      </w:r>
      <w:r>
        <w:rPr>
          <w:rFonts w:eastAsia="仿宋_GB2312"/>
          <w:color w:val="000000"/>
          <w:spacing w:val="-14"/>
          <w:kern w:val="0"/>
          <w:sz w:val="32"/>
          <w:szCs w:val="32"/>
        </w:rPr>
        <w:t>不得在驾驶过程中使用手持电话或</w:t>
      </w:r>
      <w:r>
        <w:rPr>
          <w:rFonts w:eastAsia="仿宋_GB2312"/>
          <w:spacing w:val="-14"/>
          <w:kern w:val="0"/>
          <w:sz w:val="32"/>
          <w:szCs w:val="32"/>
        </w:rPr>
        <w:t>者收听音乐、看电视；</w:t>
      </w:r>
    </w:p>
    <w:p>
      <w:pPr>
        <w:pStyle w:val="Normal"/>
        <w:spacing w:lineRule="exact" w:line="576"/>
        <w:ind w:firstLineChars="200" w:startChars="0" w:start="0" w:endChars="0" w:end="0"/>
        <w:rPr/>
      </w:pPr>
      <w:r>
        <w:rPr>
          <w:rFonts w:eastAsia="仿宋_GB2312"/>
          <w:color w:val="000000"/>
          <w:sz w:val="32"/>
          <w:szCs w:val="32"/>
        </w:rPr>
        <w:t>（六）</w:t>
      </w:r>
      <w:r>
        <w:rPr>
          <w:rFonts w:eastAsia="仿宋_GB2312"/>
          <w:kern w:val="0"/>
          <w:sz w:val="32"/>
          <w:szCs w:val="32"/>
        </w:rPr>
        <w:t>遇乘车人辱骂、拉拽、殴打或者其他妨碍安全驾驶的行为时，不得与乘车人发生冲突，当乘车人的行为直接危害安全驾驶时，应当立即安全停车并报警；</w:t>
      </w:r>
    </w:p>
    <w:p>
      <w:pPr>
        <w:pStyle w:val="Normal"/>
        <w:spacing w:lineRule="exact" w:line="576"/>
        <w:ind w:firstLineChars="200" w:startChars="0" w:start="0" w:endChars="0" w:end="0"/>
        <w:rPr/>
      </w:pPr>
      <w:r>
        <w:rPr>
          <w:rFonts w:eastAsia="仿宋_GB2312"/>
          <w:color w:val="000000"/>
          <w:sz w:val="32"/>
          <w:szCs w:val="32"/>
        </w:rPr>
        <w:t>（七）</w:t>
      </w:r>
      <w:r>
        <w:rPr>
          <w:rFonts w:eastAsia="仿宋_GB2312"/>
          <w:kern w:val="0"/>
          <w:sz w:val="32"/>
          <w:szCs w:val="32"/>
        </w:rPr>
        <w:t>发生突发事件时应当妥善处置并及时报警，保护乘车人安全，不得先于乘车人弃车逃离；</w:t>
      </w:r>
    </w:p>
    <w:p>
      <w:pPr>
        <w:pStyle w:val="Normal"/>
        <w:spacing w:lineRule="exact" w:line="576"/>
        <w:ind w:firstLineChars="200" w:startChars="0" w:start="0" w:endChars="0" w:end="0"/>
        <w:rPr/>
      </w:pPr>
      <w:r>
        <w:rPr>
          <w:rFonts w:eastAsia="仿宋_GB2312"/>
          <w:color w:val="000000"/>
          <w:sz w:val="32"/>
          <w:szCs w:val="32"/>
        </w:rPr>
        <w:t>（八）</w:t>
      </w:r>
      <w:r>
        <w:rPr>
          <w:rFonts w:eastAsia="仿宋_GB2312"/>
          <w:kern w:val="0"/>
          <w:sz w:val="32"/>
          <w:szCs w:val="32"/>
        </w:rPr>
        <w:t xml:space="preserve">按照规定的时段、线路和站点运营，不得追抢客源、滞站揽客； </w:t>
      </w:r>
    </w:p>
    <w:p>
      <w:pPr>
        <w:pStyle w:val="Normal"/>
        <w:spacing w:lineRule="exact" w:line="576"/>
        <w:ind w:firstLineChars="200" w:startChars="0" w:start="0" w:endChars="0" w:end="0"/>
        <w:rPr/>
      </w:pPr>
      <w:r>
        <w:rPr>
          <w:rFonts w:eastAsia="仿宋_GB2312"/>
          <w:color w:val="000000"/>
          <w:sz w:val="32"/>
          <w:szCs w:val="32"/>
        </w:rPr>
        <w:t>（九）</w:t>
      </w:r>
      <w:r>
        <w:rPr>
          <w:rFonts w:eastAsia="仿宋_GB2312"/>
          <w:kern w:val="0"/>
          <w:sz w:val="32"/>
          <w:szCs w:val="32"/>
        </w:rPr>
        <w:t>维护城市公共汽车车厢内的正常乘车秩序。</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违反前款规定的，由公安机关或者城市公共交通主管部门依法处理；构成犯罪的，依法追究刑事责任。</w:t>
      </w:r>
    </w:p>
    <w:p>
      <w:pPr>
        <w:pStyle w:val="Normal"/>
        <w:spacing w:lineRule="exact" w:line="576"/>
        <w:ind w:firstLineChars="200" w:startChars="0" w:start="0" w:endChars="0" w:end="0"/>
        <w:rPr/>
      </w:pPr>
      <w:r>
        <w:rPr>
          <w:rFonts w:eastAsia="黑体;SimHei"/>
          <w:kern w:val="0"/>
          <w:sz w:val="32"/>
          <w:szCs w:val="32"/>
        </w:rPr>
        <w:t xml:space="preserve">第五条 </w:t>
      </w:r>
      <w:r>
        <w:rPr>
          <w:rFonts w:eastAsia="仿宋_GB2312"/>
          <w:kern w:val="0"/>
          <w:sz w:val="32"/>
          <w:szCs w:val="32"/>
        </w:rPr>
        <w:t xml:space="preserve"> 乘车人应当文明乘车，不得有下列行为</w:t>
      </w:r>
      <w:r>
        <w:rPr>
          <w:rFonts w:eastAsia="仿宋_GB2312"/>
          <w:kern w:val="0"/>
          <w:sz w:val="32"/>
          <w:szCs w:val="32"/>
        </w:rPr>
        <w:t>:</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（一）辱骂、拉拽、殴打或者以其他方式故意伤害驾驶人；</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（二）抢夺方向盘、变速杆等操纵装置；</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（三）携带易燃、易爆、有毒（害）等危险物品；</w:t>
      </w:r>
    </w:p>
    <w:p>
      <w:pPr>
        <w:pStyle w:val="Normal"/>
        <w:spacing w:lineRule="exact" w:line="576"/>
        <w:ind w:firstLineChars="200" w:startChars="0" w:start="0" w:endChars="0" w:end="0"/>
        <w:rPr>
          <w:rFonts w:eastAsia="仿宋_GB2312"/>
          <w:color w:val="000000"/>
          <w:sz w:val="32"/>
          <w:szCs w:val="32"/>
        </w:rPr>
      </w:pPr>
      <w:r>
        <w:rPr>
          <w:rFonts w:eastAsia="仿宋_GB2312"/>
          <w:color w:val="000000"/>
          <w:kern w:val="0"/>
          <w:sz w:val="32"/>
          <w:szCs w:val="32"/>
        </w:rPr>
        <w:t>（四）非法携带枪支、弹药或者国家规定的管制器具；</w:t>
      </w:r>
    </w:p>
    <w:p>
      <w:pPr>
        <w:pStyle w:val="Normal"/>
        <w:spacing w:lineRule="exact" w:line="576"/>
        <w:ind w:firstLineChars="200" w:startChars="0" w:start="0" w:endChars="0" w:end="0"/>
        <w:rPr>
          <w:rFonts w:eastAsia="仿宋_GB2312"/>
          <w:color w:val="000000"/>
          <w:sz w:val="32"/>
          <w:szCs w:val="32"/>
        </w:rPr>
      </w:pPr>
      <w:r>
        <w:rPr>
          <w:rFonts w:eastAsia="仿宋_GB2312"/>
          <w:color w:val="000000"/>
          <w:sz w:val="32"/>
          <w:szCs w:val="32"/>
        </w:rPr>
        <w:t>（五）携带未经安全包装的易碎、尖锐物品；</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（六）携带有严重异味的物品；</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（七）殴打、追逐、辱骂其他乘车人，或者起哄闹事；</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（八）不按规定强行上下车；</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（九）向车外抛洒物品；</w:t>
      </w:r>
    </w:p>
    <w:p>
      <w:pPr>
        <w:pStyle w:val="Normal"/>
        <w:spacing w:lineRule="exact" w:line="576"/>
        <w:ind w:firstLineChars="200" w:startChars="0" w:start="0" w:endChars="0" w:end="0"/>
        <w:rPr/>
      </w:pPr>
      <w:r>
        <w:rPr>
          <w:rFonts w:eastAsia="仿宋_GB2312"/>
          <w:color w:val="000000"/>
          <w:kern w:val="0"/>
          <w:sz w:val="32"/>
          <w:szCs w:val="32"/>
        </w:rPr>
        <w:t>（十）</w:t>
      </w:r>
      <w:r>
        <w:rPr>
          <w:rFonts w:eastAsia="仿宋_GB2312"/>
          <w:kern w:val="0"/>
          <w:sz w:val="32"/>
          <w:szCs w:val="32"/>
        </w:rPr>
        <w:t>其他妨碍城市公共汽车客运安全、扰乱乘车秩序的行为。</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违反前款规定的，由公安机关依法处理；构成犯罪的，依法追究刑事责任。</w:t>
      </w:r>
    </w:p>
    <w:p>
      <w:pPr>
        <w:pStyle w:val="Normal"/>
        <w:spacing w:lineRule="exact" w:line="576"/>
        <w:ind w:firstLineChars="200" w:startChars="0" w:start="0" w:endChars="0" w:end="0"/>
        <w:rPr/>
      </w:pPr>
      <w:r>
        <w:rPr>
          <w:rFonts w:eastAsia="黑体;SimHei"/>
          <w:kern w:val="0"/>
          <w:sz w:val="32"/>
          <w:szCs w:val="32"/>
        </w:rPr>
        <w:t xml:space="preserve">第六条 </w:t>
      </w:r>
      <w:r>
        <w:rPr>
          <w:rFonts w:eastAsia="仿宋_GB2312"/>
          <w:kern w:val="0"/>
          <w:sz w:val="32"/>
          <w:szCs w:val="32"/>
        </w:rPr>
        <w:t xml:space="preserve"> 鼓励乘车人参与维护城市公共汽车客运秩序。乘车人有权劝阻和制止妨碍安全驾驶等危害客运安全的行为。</w:t>
      </w:r>
    </w:p>
    <w:p>
      <w:pPr>
        <w:pStyle w:val="Normal"/>
        <w:spacing w:lineRule="exact" w:line="576"/>
        <w:ind w:firstLineChars="200" w:startChars="0" w:start="0" w:endChars="0" w:end="0"/>
        <w:rPr>
          <w:rFonts w:eastAsia="仿宋_GB2312"/>
          <w:color w:val="000000"/>
          <w:kern w:val="0"/>
          <w:sz w:val="32"/>
          <w:szCs w:val="32"/>
        </w:rPr>
      </w:pPr>
      <w:r>
        <w:rPr>
          <w:rFonts w:eastAsia="仿宋_GB2312"/>
          <w:color w:val="000000"/>
          <w:kern w:val="0"/>
          <w:sz w:val="32"/>
          <w:szCs w:val="32"/>
        </w:rPr>
        <w:t>城市公共汽车运营企业可以在公共汽车车厢驾驶区附近设置安全劝导座位。鼓励坐在安全劝导座位的乘车人率先劝阻或者制止妨碍安全驾驶的行为。</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前两款行为构成见义勇为的，依照《四川省保护和奖励见义勇为条例》的规定予以确认、保护和奖励。</w:t>
      </w:r>
    </w:p>
    <w:p>
      <w:pPr>
        <w:pStyle w:val="Normal"/>
        <w:spacing w:lineRule="exact" w:line="576"/>
        <w:ind w:firstLineChars="200" w:startChars="0" w:start="0" w:endChars="0" w:end="0"/>
        <w:rPr/>
      </w:pPr>
      <w:r>
        <w:rPr>
          <w:rFonts w:eastAsia="黑体;SimHei"/>
          <w:kern w:val="0"/>
          <w:sz w:val="32"/>
          <w:szCs w:val="32"/>
        </w:rPr>
        <w:t>第七条</w:t>
      </w:r>
      <w:r>
        <w:rPr>
          <w:rFonts w:eastAsia="仿宋_GB2312"/>
          <w:kern w:val="0"/>
          <w:sz w:val="32"/>
          <w:szCs w:val="32"/>
        </w:rPr>
        <w:t xml:space="preserve">  城市公共汽车运营企业是客运安全的责任主体，应当遵守下列规定：</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（一）依照规定聘用具有从业条件的人担任驾驶人，并对其进行客运安全教育、培训、管理和考核；</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（二）不得将存在安全隐患的车辆投入运营；</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（三）在车辆醒目位置设置安全警示标识；</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（四）依照规定在车辆上安装智能视频监控、一键报警等技术防范设施和驾驶区防护隔离设施；</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（五）在车辆上配备灭火器、电池舱自动灭火装置、电池箱灭火装置、安全锤等安全应急设备；</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（六）在车辆上安装智能语音报站设施，利用车载媒体播放视频、语音等方式，提醒乘车人遵守规则、文明乘车。</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城市公共汽车运营企业应当保证车辆及其设施、设备处于良好状态，并保障其安全运行。</w:t>
      </w:r>
    </w:p>
    <w:p>
      <w:pPr>
        <w:pStyle w:val="Normal"/>
        <w:spacing w:lineRule="exact" w:line="576"/>
        <w:ind w:firstLineChars="200" w:startChars="0" w:start="0" w:endChars="0" w:end="0"/>
        <w:rPr/>
      </w:pPr>
      <w:r>
        <w:rPr>
          <w:rFonts w:eastAsia="仿宋_GB2312"/>
          <w:kern w:val="0"/>
          <w:sz w:val="32"/>
          <w:szCs w:val="32"/>
        </w:rPr>
        <w:t>违</w:t>
      </w:r>
      <w:r>
        <w:rPr>
          <w:rFonts w:eastAsia="仿宋_GB2312"/>
          <w:spacing w:val="-6"/>
          <w:kern w:val="0"/>
          <w:sz w:val="32"/>
          <w:szCs w:val="32"/>
        </w:rPr>
        <w:t>反前两款规定的，由城市公共交通主管部门责令限期改正，给予警告；逾期未改正的，处五千元以上一万元以下的罚款。</w:t>
      </w:r>
    </w:p>
    <w:p>
      <w:pPr>
        <w:pStyle w:val="Normal"/>
        <w:spacing w:lineRule="exact" w:line="576"/>
        <w:ind w:firstLineChars="200" w:startChars="0" w:start="0" w:endChars="0" w:end="0"/>
        <w:rPr/>
      </w:pPr>
      <w:r>
        <w:rPr>
          <w:rFonts w:eastAsia="黑体;SimHei"/>
          <w:kern w:val="0"/>
          <w:sz w:val="32"/>
          <w:szCs w:val="32"/>
        </w:rPr>
        <w:t>第八条</w:t>
      </w:r>
      <w:r>
        <w:rPr>
          <w:rFonts w:eastAsia="仿宋_GB2312"/>
          <w:kern w:val="0"/>
          <w:sz w:val="32"/>
          <w:szCs w:val="32"/>
        </w:rPr>
        <w:t xml:space="preserve">  市、县级人民政府应当落实国家公共交通优先发展战略，加强对城市公共汽车客运安全工作的组织领导，统筹协调，督促落实。加大对城市</w:t>
      </w:r>
      <w:r>
        <w:rPr>
          <w:rFonts w:eastAsia="仿宋_GB2312"/>
          <w:spacing w:val="-8"/>
          <w:kern w:val="0"/>
          <w:sz w:val="32"/>
          <w:szCs w:val="32"/>
        </w:rPr>
        <w:t>公共汽车客运安全的投入，对安装安全防范设施、设备所需资金给予补贴，并将补贴资金列入本级预算。</w:t>
      </w:r>
    </w:p>
    <w:p>
      <w:pPr>
        <w:pStyle w:val="Normal"/>
        <w:spacing w:lineRule="exact" w:line="576"/>
        <w:ind w:firstLineChars="200" w:startChars="0" w:start="0" w:endChars="0" w:end="0"/>
        <w:rPr/>
      </w:pPr>
      <w:r>
        <w:rPr>
          <w:rFonts w:eastAsia="黑体;SimHei"/>
          <w:kern w:val="0"/>
          <w:sz w:val="32"/>
          <w:szCs w:val="32"/>
        </w:rPr>
        <w:t>第九条</w:t>
      </w:r>
      <w:r>
        <w:rPr>
          <w:rFonts w:eastAsia="仿宋_GB2312"/>
          <w:kern w:val="0"/>
          <w:sz w:val="32"/>
          <w:szCs w:val="32"/>
        </w:rPr>
        <w:t xml:space="preserve">  市、县级交通运输、公安、应急管理等部门应当依据各自职责，负责城市公共汽车客运安全的指导、检查、监督，建立健全应急处置联动机制，协调解决客运安全方面的重大问题。</w:t>
      </w:r>
    </w:p>
    <w:p>
      <w:pPr>
        <w:pStyle w:val="Normal"/>
        <w:spacing w:lineRule="exact" w:line="576"/>
        <w:ind w:firstLineChars="200" w:startChars="0" w:start="0" w:endChars="0" w:end="0"/>
        <w:rPr/>
      </w:pPr>
      <w:r>
        <w:rPr>
          <w:rFonts w:eastAsia="仿宋_GB2312"/>
          <w:kern w:val="0"/>
          <w:sz w:val="32"/>
          <w:szCs w:val="32"/>
        </w:rPr>
        <w:t>市、县级</w:t>
      </w:r>
      <w:r>
        <w:rPr>
          <w:rFonts w:eastAsia="仿宋_GB2312"/>
          <w:spacing w:val="-4"/>
          <w:kern w:val="0"/>
          <w:sz w:val="32"/>
          <w:szCs w:val="32"/>
        </w:rPr>
        <w:t>交通运输、公安、司法行政、教育、文化广播电视等部门应当通过以案</w:t>
      </w:r>
      <w:r>
        <w:rPr>
          <w:rFonts w:eastAsia="仿宋_GB2312"/>
          <w:color w:val="000000"/>
          <w:kern w:val="0"/>
          <w:sz w:val="32"/>
          <w:szCs w:val="32"/>
        </w:rPr>
        <w:t>说</w:t>
      </w:r>
      <w:r>
        <w:rPr>
          <w:rFonts w:eastAsia="仿宋_GB2312"/>
          <w:spacing w:val="-4"/>
          <w:kern w:val="0"/>
          <w:sz w:val="32"/>
          <w:szCs w:val="32"/>
        </w:rPr>
        <w:t>法等方式，加强城市公共汽车客运安全的宣传教育和舆论引导，增强公众自觉维护客运安全的意识。</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t>有关负责城市公共汽车客运安全的行政机关及其工作人员滥用职权、玩忽职守、徇私舞弊的，依法给予处理；构成犯罪的，依法追究刑事责任。</w:t>
      </w:r>
    </w:p>
    <w:p>
      <w:pPr>
        <w:pStyle w:val="Normal"/>
        <w:spacing w:lineRule="exact" w:line="576"/>
        <w:ind w:firstLineChars="200" w:startChars="0" w:start="0" w:endChars="0" w:end="0"/>
        <w:rPr/>
      </w:pPr>
      <w:r>
        <w:rPr>
          <w:rFonts w:eastAsia="黑体;SimHei"/>
          <w:kern w:val="0"/>
          <w:sz w:val="32"/>
          <w:szCs w:val="32"/>
        </w:rPr>
        <w:t>第十条</w:t>
      </w:r>
      <w:r>
        <w:rPr>
          <w:rFonts w:eastAsia="仿宋_GB2312"/>
          <w:kern w:val="0"/>
          <w:sz w:val="32"/>
          <w:szCs w:val="32"/>
        </w:rPr>
        <w:t xml:space="preserve">  本规定自</w:t>
      </w:r>
      <w:r>
        <w:rPr>
          <w:rFonts w:eastAsia="仿宋_GB2312"/>
          <w:kern w:val="0"/>
          <w:sz w:val="32"/>
          <w:szCs w:val="32"/>
        </w:rPr>
        <w:t>2019</w:t>
      </w:r>
      <w:r>
        <w:rPr>
          <w:rFonts w:eastAsia="仿宋_GB2312"/>
          <w:kern w:val="0"/>
          <w:sz w:val="32"/>
          <w:szCs w:val="32"/>
        </w:rPr>
        <w:t>年</w:t>
      </w:r>
      <w:r>
        <w:rPr>
          <w:rFonts w:eastAsia="仿宋_GB2312"/>
          <w:kern w:val="0"/>
          <w:sz w:val="32"/>
          <w:szCs w:val="32"/>
        </w:rPr>
        <w:t>7</w:t>
      </w:r>
      <w:r>
        <w:rPr>
          <w:rFonts w:eastAsia="仿宋_GB2312"/>
          <w:kern w:val="0"/>
          <w:sz w:val="32"/>
          <w:szCs w:val="32"/>
        </w:rPr>
        <w:t>月</w:t>
      </w:r>
      <w:r>
        <w:rPr>
          <w:rFonts w:eastAsia="仿宋_GB2312"/>
          <w:kern w:val="0"/>
          <w:sz w:val="32"/>
          <w:szCs w:val="32"/>
        </w:rPr>
        <w:t>1</w:t>
      </w:r>
      <w:r>
        <w:rPr>
          <w:rFonts w:eastAsia="仿宋_GB2312"/>
          <w:kern w:val="0"/>
          <w:sz w:val="32"/>
          <w:szCs w:val="32"/>
        </w:rPr>
        <w:t>日起施行。</w:t>
      </w:r>
    </w:p>
    <w:p>
      <w:pPr>
        <w:pStyle w:val="Normal"/>
        <w:spacing w:lineRule="exact" w:line="576"/>
        <w:ind w:firstLineChars="200" w:startChars="0" w:start="0" w:endChars="0" w:end="0"/>
        <w:rPr>
          <w:rFonts w:eastAsia="仿宋_GB2312"/>
          <w:kern w:val="0"/>
          <w:sz w:val="32"/>
          <w:szCs w:val="32"/>
        </w:rPr>
      </w:pPr>
      <w:r>
        <w:rPr>
          <w:rFonts w:eastAsia="仿宋_GB2312"/>
          <w:kern w:val="0"/>
          <w:sz w:val="32"/>
          <w:szCs w:val="32"/>
        </w:rPr>
      </w:r>
    </w:p>
    <w:p>
      <w:pPr>
        <w:pStyle w:val="Normal"/>
        <w:spacing w:lineRule="exact" w:line="576"/>
        <w:rPr>
          <w:rFonts w:eastAsia="仿宋_GB2312"/>
          <w:sz w:val="32"/>
          <w:szCs w:val="32"/>
        </w:rPr>
      </w:pPr>
      <w:r>
        <w:rPr>
          <w:rFonts w:eastAsia="仿宋_GB2312"/>
          <w:sz w:val="32"/>
          <w:szCs w:val="32"/>
        </w:rPr>
      </w:r>
    </w:p>
    <w:sectPr>
      <w:footerReference w:type="default" r:id="rId2"/>
      <w:type w:val="nextPage"/>
      <w:pgSz w:w="11906" w:h="16838"/>
      <w:pgMar w:left="1644" w:right="1474" w:gutter="0" w:header="0" w:top="2098" w:footer="510"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552450" cy="90678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906780"/>
                      </a:xfrm>
                      <a:prstGeom prst="rect"/>
                      <a:solidFill>
                        <a:srgbClr val="FFFFFF">
                          <a:alpha val="0"/>
                        </a:srgbClr>
                      </a:solidFill>
                    </wps:spPr>
                    <wps:txbx>
                      <w:txbxContent>
                        <w:p>
                          <w:pPr>
                            <w:pStyle w:val="Footer"/>
                            <w:ind w:firstLineChars="0" w:firstLine="0" w:startChars="150" w:endChars="15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71.4pt;mso-wrap-distance-left:0pt;mso-wrap-distance-right:0pt;mso-wrap-distance-top:0pt;mso-wrap-distance-bottom:0pt;margin-top:0.05pt;mso-position-vertical-relative:text;margin-left:395.9pt;mso-position-horizontal:outside;mso-position-horizontal-relative:margin">
              <v:fill opacity="0f"/>
              <v:textbox inset="0in,0in,0in,0in">
                <w:txbxContent>
                  <w:p>
                    <w:pPr>
                      <w:pStyle w:val="Footer"/>
                      <w:ind w:firstLineChars="0" w:firstLine="0" w:startChars="150" w:endChars="150"/>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2019-06-03T16:39:00Z</dcterms:created>
  <dc:creator>微软用户</dc:creator>
  <dc:description/>
  <cp:keywords/>
  <dc:language>en-US</dc:language>
  <cp:lastModifiedBy>lenovo</cp:lastModifiedBy>
  <cp:lastPrinted>2019-05-28T11:17:00Z</cp:lastPrinted>
  <dcterms:modified xsi:type="dcterms:W3CDTF">2019-06-10T10:57:00Z</dcterms:modified>
  <cp:revision>9</cp:revision>
  <dc:subject/>
  <dc:title>广安市城市公共汽车客运安全规定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2052-11.1.0.8696</vt:lpwstr>
  </property>
</Properties>
</file>