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eastAsia="方正小标宋简体" w:hint="eastAsia"/>
          <w:bCs/>
          <w:sz w:val="44"/>
          <w:szCs w:val="44"/>
        </w:rPr>
      </w:pPr>
      <w:r>
        <w:rPr>
          <w:rFonts w:eastAsia="方正小标宋简体" w:hint="eastAsia"/>
          <w:bCs/>
          <w:sz w:val="44"/>
          <w:szCs w:val="44"/>
        </w:rPr>
      </w:r>
    </w:p>
    <w:p>
      <w:pPr>
        <w:pStyle w:val="Normal"/>
        <w:spacing w:lineRule="exact" w:line="560"/>
        <w:jc w:val="center"/>
        <w:rPr>
          <w:rFonts w:eastAsia="方正小标宋简体" w:hint="eastAsia"/>
          <w:bCs/>
          <w:sz w:val="44"/>
          <w:szCs w:val="44"/>
        </w:rPr>
      </w:pPr>
      <w:r>
        <w:rPr>
          <w:rFonts w:eastAsia="方正小标宋简体" w:hint="eastAsia"/>
          <w:bCs/>
          <w:sz w:val="44"/>
          <w:szCs w:val="44"/>
        </w:rPr>
      </w:r>
    </w:p>
    <w:p>
      <w:pPr>
        <w:pStyle w:val="Normal"/>
        <w:spacing w:lineRule="exact" w:line="560"/>
        <w:jc w:val="center"/>
        <w:rPr>
          <w:rFonts w:ascii="宋体;SimSun" w:hAnsi="宋体;SimSun" w:eastAsia="宋体;SimSun" w:cs="宋体;SimSun"/>
          <w:bCs/>
          <w:sz w:val="44"/>
          <w:szCs w:val="44"/>
        </w:rPr>
      </w:pPr>
      <w:r>
        <w:rPr>
          <w:rFonts w:ascii="宋体;SimSun" w:hAnsi="宋体;SimSun" w:cs="宋体;SimSun" w:eastAsia="宋体;SimSun"/>
          <w:bCs/>
          <w:sz w:val="44"/>
          <w:szCs w:val="44"/>
        </w:rPr>
        <w:t>成都市绿色建筑促进条例</w:t>
      </w:r>
    </w:p>
    <w:p>
      <w:pPr>
        <w:pStyle w:val="Normal"/>
        <w:spacing w:lineRule="exact" w:line="560"/>
        <w:ind w:firstLineChars="0" w:firstLine="0" w:startChars="300" w:endChars="300"/>
        <w:rPr>
          <w:rFonts w:ascii="楷体_GB2312" w:hAnsi="楷体_GB2312" w:eastAsia="楷体_GB2312" w:cs="宋体;SimSun" w:hint="eastAsia"/>
          <w:bCs/>
          <w:sz w:val="44"/>
          <w:szCs w:val="32"/>
        </w:rPr>
      </w:pPr>
      <w:r>
        <w:rPr>
          <w:rFonts w:eastAsia="楷体_GB2312" w:cs="宋体;SimSun" w:hint="eastAsia" w:ascii="楷体_GB2312" w:hAnsi="楷体_GB2312"/>
          <w:bCs/>
          <w:sz w:val="44"/>
          <w:szCs w:val="32"/>
        </w:rPr>
      </w:r>
    </w:p>
    <w:p>
      <w:pPr>
        <w:pStyle w:val="Normal"/>
        <w:spacing w:lineRule="exact" w:line="560"/>
        <w:ind w:firstLineChars="0" w:firstLine="0" w:startChars="300" w:endChars="300"/>
        <w:rPr/>
      </w:pPr>
      <w:r>
        <w:rPr>
          <w:rFonts w:ascii="楷体_GB2312" w:hAnsi="楷体_GB2312" w:hint="eastAsia" w:eastAsia="楷体_GB2312"/>
          <w:bCs/>
          <w:szCs w:val="32"/>
        </w:rPr>
        <w:t>（</w:t>
      </w:r>
      <w:r>
        <w:rPr>
          <w:rFonts w:eastAsia="楷体_GB2312" w:hint="eastAsia" w:ascii="楷体_GB2312" w:hAnsi="楷体_GB2312"/>
          <w:bCs/>
          <w:szCs w:val="32"/>
        </w:rPr>
        <w:t>2022</w:t>
      </w:r>
      <w:r>
        <w:rPr>
          <w:rFonts w:ascii="楷体_GB2312" w:hAnsi="楷体_GB2312" w:hint="eastAsia" w:eastAsia="楷体_GB2312"/>
          <w:bCs/>
          <w:szCs w:val="32"/>
        </w:rPr>
        <w:t>年</w:t>
      </w:r>
      <w:r>
        <w:rPr>
          <w:rFonts w:eastAsia="楷体_GB2312" w:hint="eastAsia" w:ascii="楷体_GB2312" w:hAnsi="楷体_GB2312"/>
          <w:bCs/>
          <w:szCs w:val="32"/>
        </w:rPr>
        <w:t>10</w:t>
      </w:r>
      <w:r>
        <w:rPr>
          <w:rFonts w:ascii="楷体_GB2312" w:hAnsi="楷体_GB2312" w:hint="eastAsia" w:eastAsia="楷体_GB2312"/>
          <w:bCs/>
          <w:szCs w:val="32"/>
        </w:rPr>
        <w:t>月</w:t>
      </w:r>
      <w:r>
        <w:rPr>
          <w:rFonts w:eastAsia="楷体_GB2312" w:hint="eastAsia" w:ascii="楷体_GB2312" w:hAnsi="楷体_GB2312"/>
          <w:bCs/>
          <w:szCs w:val="32"/>
        </w:rPr>
        <w:t>27</w:t>
      </w:r>
      <w:r>
        <w:rPr>
          <w:rFonts w:ascii="楷体_GB2312" w:hAnsi="楷体_GB2312" w:hint="eastAsia" w:eastAsia="楷体_GB2312"/>
          <w:bCs/>
          <w:szCs w:val="32"/>
        </w:rPr>
        <w:t xml:space="preserve">日成都市第十七届人民代表大会常务委员会第三十九次会议通过  </w:t>
      </w:r>
      <w:r>
        <w:rPr>
          <w:rFonts w:eastAsia="楷体_GB2312" w:hint="eastAsia" w:ascii="楷体_GB2312" w:hAnsi="楷体_GB2312"/>
          <w:bCs/>
          <w:szCs w:val="32"/>
        </w:rPr>
        <w:t>2022</w:t>
      </w:r>
      <w:r>
        <w:rPr>
          <w:rFonts w:ascii="楷体_GB2312" w:hAnsi="楷体_GB2312" w:hint="eastAsia" w:eastAsia="楷体_GB2312"/>
          <w:bCs/>
          <w:szCs w:val="32"/>
        </w:rPr>
        <w:t>年</w:t>
      </w:r>
      <w:r>
        <w:rPr>
          <w:rFonts w:eastAsia="楷体_GB2312" w:hint="eastAsia" w:ascii="楷体_GB2312" w:hAnsi="楷体_GB2312"/>
          <w:bCs/>
          <w:szCs w:val="32"/>
        </w:rPr>
        <w:t>12</w:t>
      </w:r>
      <w:r>
        <w:rPr>
          <w:rFonts w:ascii="楷体_GB2312" w:hAnsi="楷体_GB2312" w:hint="eastAsia" w:eastAsia="楷体_GB2312"/>
          <w:bCs/>
          <w:szCs w:val="32"/>
        </w:rPr>
        <w:t>月</w:t>
      </w:r>
      <w:r>
        <w:rPr>
          <w:rFonts w:eastAsia="楷体_GB2312" w:hint="eastAsia" w:ascii="楷体_GB2312" w:hAnsi="楷体_GB2312"/>
          <w:bCs/>
          <w:szCs w:val="32"/>
        </w:rPr>
        <w:t>2</w:t>
      </w:r>
      <w:r>
        <w:rPr>
          <w:rFonts w:ascii="楷体_GB2312" w:hAnsi="楷体_GB2312" w:hint="eastAsia" w:eastAsia="楷体_GB2312"/>
          <w:bCs/>
          <w:szCs w:val="32"/>
        </w:rPr>
        <w:t>日四川省第十三届人民代表大会常务委员会第三十八次会议批准）</w:t>
      </w:r>
    </w:p>
    <w:p>
      <w:pPr>
        <w:pStyle w:val="Normal"/>
        <w:spacing w:lineRule="exact" w:line="560"/>
        <w:jc w:val="center"/>
        <w:rPr>
          <w:rFonts w:ascii="楷体_GB2312" w:hAnsi="楷体_GB2312" w:eastAsia="方正宋三_GBK" w:hint="eastAsia"/>
          <w:bCs/>
          <w:szCs w:val="32"/>
        </w:rPr>
      </w:pPr>
      <w:r>
        <w:rPr>
          <w:rFonts w:eastAsia="方正宋三_GBK" w:hint="eastAsia" w:ascii="楷体_GB2312" w:hAnsi="楷体_GB2312"/>
          <w:bCs/>
          <w:szCs w:val="32"/>
        </w:rPr>
      </w:r>
    </w:p>
    <w:p>
      <w:pPr>
        <w:pStyle w:val="Normal"/>
        <w:spacing w:lineRule="exact" w:line="560"/>
        <w:jc w:val="center"/>
        <w:rPr>
          <w:rFonts w:ascii="楷体_GB2312" w:hAnsi="楷体_GB2312" w:eastAsia="楷体_GB2312" w:hint="eastAsia"/>
          <w:bCs/>
          <w:szCs w:val="32"/>
        </w:rPr>
      </w:pPr>
      <w:r>
        <w:rPr>
          <w:rFonts w:ascii="楷体_GB2312" w:hAnsi="楷体_GB2312" w:hint="eastAsia" w:eastAsia="楷体_GB2312"/>
          <w:bCs/>
          <w:szCs w:val="32"/>
        </w:rPr>
        <w:t>目  录</w:t>
      </w:r>
    </w:p>
    <w:p>
      <w:pPr>
        <w:pStyle w:val="Normal"/>
        <w:spacing w:lineRule="exact" w:line="560"/>
        <w:ind w:firstLineChars="200" w:startChars="0" w:start="0" w:endChars="0" w:end="0"/>
        <w:rPr>
          <w:rFonts w:ascii="楷体_GB2312" w:hAnsi="楷体_GB2312" w:eastAsia="楷体_GB2312" w:hint="eastAsia"/>
          <w:bCs/>
          <w:szCs w:val="32"/>
        </w:rPr>
      </w:pPr>
      <w:r>
        <w:rPr>
          <w:rFonts w:ascii="楷体_GB2312" w:hAnsi="楷体_GB2312" w:hint="eastAsia" w:eastAsia="楷体_GB2312"/>
          <w:bCs/>
          <w:szCs w:val="32"/>
        </w:rPr>
        <w:t>第一章    总  则</w:t>
      </w:r>
    </w:p>
    <w:p>
      <w:pPr>
        <w:pStyle w:val="Normal"/>
        <w:spacing w:lineRule="exact" w:line="560"/>
        <w:ind w:firstLineChars="200" w:startChars="0" w:start="0" w:endChars="0" w:end="0"/>
        <w:rPr>
          <w:rFonts w:ascii="楷体_GB2312" w:hAnsi="楷体_GB2312" w:eastAsia="楷体_GB2312" w:hint="eastAsia"/>
          <w:bCs/>
          <w:szCs w:val="32"/>
        </w:rPr>
      </w:pPr>
      <w:r>
        <w:rPr>
          <w:rFonts w:ascii="楷体_GB2312" w:hAnsi="楷体_GB2312" w:hint="eastAsia" w:eastAsia="楷体_GB2312"/>
          <w:bCs/>
          <w:szCs w:val="32"/>
        </w:rPr>
        <w:t>第二章    规划和立项</w:t>
      </w:r>
    </w:p>
    <w:p>
      <w:pPr>
        <w:pStyle w:val="Normal"/>
        <w:spacing w:lineRule="exact" w:line="560"/>
        <w:ind w:firstLineChars="200" w:startChars="0" w:start="0" w:endChars="0" w:end="0"/>
        <w:rPr>
          <w:rFonts w:ascii="楷体_GB2312" w:hAnsi="楷体_GB2312" w:eastAsia="楷体_GB2312" w:hint="eastAsia"/>
          <w:bCs/>
          <w:szCs w:val="32"/>
        </w:rPr>
      </w:pPr>
      <w:r>
        <w:rPr>
          <w:rFonts w:ascii="楷体_GB2312" w:hAnsi="楷体_GB2312" w:hint="eastAsia" w:eastAsia="楷体_GB2312"/>
          <w:bCs/>
          <w:szCs w:val="32"/>
        </w:rPr>
        <w:t>第三章    设计和建设</w:t>
      </w:r>
    </w:p>
    <w:p>
      <w:pPr>
        <w:pStyle w:val="Normal"/>
        <w:spacing w:lineRule="exact" w:line="560"/>
        <w:ind w:firstLineChars="200" w:startChars="0" w:start="0" w:endChars="0" w:end="0"/>
        <w:rPr>
          <w:rFonts w:ascii="楷体_GB2312" w:hAnsi="楷体_GB2312" w:eastAsia="楷体_GB2312" w:hint="eastAsia"/>
          <w:bCs/>
          <w:szCs w:val="32"/>
        </w:rPr>
      </w:pPr>
      <w:r>
        <w:rPr>
          <w:rFonts w:ascii="楷体_GB2312" w:hAnsi="楷体_GB2312" w:hint="eastAsia" w:eastAsia="楷体_GB2312"/>
          <w:bCs/>
          <w:szCs w:val="32"/>
        </w:rPr>
        <w:t>第四章    运行和改造</w:t>
      </w:r>
    </w:p>
    <w:p>
      <w:pPr>
        <w:pStyle w:val="Normal"/>
        <w:spacing w:lineRule="exact" w:line="560"/>
        <w:ind w:firstLineChars="200" w:startChars="0" w:start="0" w:endChars="0" w:end="0"/>
        <w:rPr>
          <w:rFonts w:ascii="楷体_GB2312" w:hAnsi="楷体_GB2312" w:eastAsia="楷体_GB2312" w:hint="eastAsia"/>
          <w:bCs/>
          <w:szCs w:val="32"/>
        </w:rPr>
      </w:pPr>
      <w:r>
        <w:rPr>
          <w:rFonts w:ascii="楷体_GB2312" w:hAnsi="楷体_GB2312" w:hint="eastAsia" w:eastAsia="楷体_GB2312"/>
          <w:bCs/>
          <w:szCs w:val="32"/>
        </w:rPr>
        <w:t>第五章    技术和推广</w:t>
      </w:r>
    </w:p>
    <w:p>
      <w:pPr>
        <w:pStyle w:val="Normal"/>
        <w:spacing w:lineRule="exact" w:line="560"/>
        <w:ind w:firstLineChars="200" w:startChars="0" w:start="0" w:endChars="0" w:end="0"/>
        <w:rPr>
          <w:rFonts w:ascii="楷体_GB2312" w:hAnsi="楷体_GB2312" w:eastAsia="楷体_GB2312" w:hint="eastAsia"/>
          <w:bCs/>
          <w:szCs w:val="32"/>
        </w:rPr>
      </w:pPr>
      <w:r>
        <w:rPr>
          <w:rFonts w:ascii="楷体_GB2312" w:hAnsi="楷体_GB2312" w:hint="eastAsia" w:eastAsia="楷体_GB2312"/>
          <w:bCs/>
          <w:szCs w:val="32"/>
        </w:rPr>
        <w:t>第六章    促进和发展</w:t>
      </w:r>
    </w:p>
    <w:p>
      <w:pPr>
        <w:pStyle w:val="Normal"/>
        <w:spacing w:lineRule="exact" w:line="560"/>
        <w:ind w:firstLineChars="200" w:startChars="0" w:start="0" w:endChars="0" w:end="0"/>
        <w:rPr>
          <w:rFonts w:ascii="楷体_GB2312" w:hAnsi="楷体_GB2312" w:eastAsia="楷体_GB2312" w:hint="eastAsia"/>
          <w:bCs/>
          <w:szCs w:val="32"/>
        </w:rPr>
      </w:pPr>
      <w:r>
        <w:rPr>
          <w:rFonts w:ascii="楷体_GB2312" w:hAnsi="楷体_GB2312" w:hint="eastAsia" w:eastAsia="楷体_GB2312"/>
          <w:bCs/>
          <w:szCs w:val="32"/>
        </w:rPr>
        <w:t>第七章    法律责任</w:t>
      </w:r>
    </w:p>
    <w:p>
      <w:pPr>
        <w:pStyle w:val="Normal"/>
        <w:spacing w:lineRule="exact" w:line="560"/>
        <w:ind w:firstLineChars="200" w:startChars="0" w:start="0" w:endChars="0" w:end="0"/>
        <w:rPr>
          <w:rFonts w:ascii="楷体_GB2312" w:hAnsi="楷体_GB2312" w:eastAsia="楷体_GB2312" w:hint="eastAsia"/>
          <w:bCs/>
          <w:szCs w:val="32"/>
        </w:rPr>
      </w:pPr>
      <w:r>
        <w:rPr>
          <w:rFonts w:ascii="楷体_GB2312" w:hAnsi="楷体_GB2312" w:hint="eastAsia" w:eastAsia="楷体_GB2312"/>
          <w:bCs/>
          <w:szCs w:val="32"/>
        </w:rPr>
        <w:t>第八章    附  则</w:t>
      </w:r>
    </w:p>
    <w:p>
      <w:pPr>
        <w:pStyle w:val="Style14"/>
        <w:rPr>
          <w:rFonts w:ascii="楷体_GB2312" w:hAnsi="楷体_GB2312" w:eastAsia="楷体_GB2312" w:cs="Times New Roman" w:hint="eastAsia"/>
          <w:bCs/>
          <w:szCs w:val="32"/>
        </w:rPr>
      </w:pPr>
      <w:r>
        <w:rPr>
          <w:rFonts w:eastAsia="楷体_GB2312" w:cs="Times New Roman" w:hint="eastAsia" w:ascii="楷体_GB2312" w:hAnsi="楷体_GB2312"/>
          <w:bCs/>
          <w:szCs w:val="32"/>
        </w:rPr>
      </w:r>
    </w:p>
    <w:p>
      <w:pPr>
        <w:pStyle w:val="Normal"/>
        <w:spacing w:lineRule="exact" w:line="560"/>
        <w:jc w:val="center"/>
        <w:rPr/>
      </w:pPr>
      <w:r>
        <w:rPr>
          <w:rFonts w:ascii="黑体;SimHei" w:hAnsi="黑体;SimHei" w:cs="黑体;SimHei" w:eastAsia="黑体;SimHei"/>
          <w:bCs/>
          <w:szCs w:val="32"/>
        </w:rPr>
        <w:t>第一章</w:t>
      </w:r>
      <w:r>
        <w:rPr>
          <w:rFonts w:ascii="黑体;SimHei" w:hAnsi="黑体;SimHei" w:cs="黑体;SimHei" w:hint="eastAsia" w:eastAsia="黑体;SimHei"/>
          <w:bCs/>
          <w:szCs w:val="32"/>
        </w:rPr>
        <w:t xml:space="preserve">  </w:t>
      </w:r>
      <w:r>
        <w:rPr>
          <w:rFonts w:ascii="黑体;SimHei" w:hAnsi="黑体;SimHei" w:cs="黑体;SimHei" w:eastAsia="黑体;SimHei"/>
          <w:bCs/>
          <w:szCs w:val="32"/>
        </w:rPr>
        <w:t>总则</w:t>
      </w:r>
    </w:p>
    <w:p>
      <w:pPr>
        <w:pStyle w:val="Normal"/>
        <w:spacing w:lineRule="exact" w:line="560"/>
        <w:ind w:firstLineChars="200" w:startChars="0" w:start="0" w:endChars="0" w:end="0"/>
        <w:rPr>
          <w:rFonts w:ascii="黑体;SimHei" w:hAnsi="黑体;SimHei" w:eastAsia="黑体;SimHei" w:cs="黑体;SimHei" w:hint="eastAsia"/>
          <w:bCs/>
          <w:szCs w:val="32"/>
        </w:rPr>
      </w:pPr>
      <w:r>
        <w:rPr>
          <w:rFonts w:eastAsia="黑体;SimHei" w:cs="黑体;SimHei" w:hint="eastAsia" w:ascii="黑体;SimHei" w:hAnsi="黑体;SimHei"/>
          <w:bCs/>
          <w:szCs w:val="32"/>
        </w:rPr>
      </w:r>
    </w:p>
    <w:p>
      <w:pPr>
        <w:pStyle w:val="Normal"/>
        <w:spacing w:lineRule="exact" w:line="560"/>
        <w:ind w:firstLineChars="200" w:startChars="0" w:start="0" w:endChars="0" w:end="0"/>
        <w:rPr/>
      </w:pPr>
      <w:r>
        <w:rPr>
          <w:rFonts w:eastAsia="黑体;SimHei"/>
          <w:bCs/>
          <w:szCs w:val="32"/>
        </w:rPr>
        <w:t>第一条</w:t>
      </w:r>
      <w:r>
        <w:rPr>
          <w:bCs/>
          <w:szCs w:val="32"/>
        </w:rPr>
        <w:t xml:space="preserve">  为了减少建筑能源消耗，促进绿色建筑高质量发展，推进公园城市示范区建设，助力实现碳达峰、碳中和，根据《中华人民共和国建筑法》《中华人民共和国节约能源法》《民用建筑节能条例》等法律、法规，结合成都市实际，制定本条例。</w:t>
      </w:r>
    </w:p>
    <w:p>
      <w:pPr>
        <w:pStyle w:val="Normal"/>
        <w:spacing w:lineRule="exact" w:line="560"/>
        <w:ind w:firstLineChars="200" w:startChars="0" w:start="0" w:endChars="0" w:end="0"/>
        <w:rPr/>
      </w:pPr>
      <w:r>
        <w:rPr>
          <w:rFonts w:eastAsia="黑体;SimHei"/>
          <w:bCs/>
          <w:szCs w:val="32"/>
        </w:rPr>
        <w:t>第二条</w:t>
      </w:r>
      <w:r>
        <w:rPr>
          <w:bCs/>
          <w:szCs w:val="32"/>
        </w:rPr>
        <w:t xml:space="preserve">  本条例适用于本市行政区域内从事与绿色建筑相关的规划、设计、建设、运行、改造、拆除等活动，及其监督管理工作。</w:t>
      </w:r>
    </w:p>
    <w:p>
      <w:pPr>
        <w:pStyle w:val="Normal"/>
        <w:spacing w:lineRule="exact" w:line="560"/>
        <w:ind w:firstLineChars="200" w:startChars="0" w:start="0" w:endChars="0" w:end="0"/>
        <w:rPr/>
      </w:pPr>
      <w:r>
        <w:rPr>
          <w:rFonts w:eastAsia="黑体;SimHei"/>
          <w:bCs/>
          <w:szCs w:val="32"/>
        </w:rPr>
        <w:t>第三条</w:t>
      </w:r>
      <w:r>
        <w:rPr>
          <w:bCs/>
          <w:szCs w:val="32"/>
        </w:rPr>
        <w:t xml:space="preserve">  本条例所称绿色建筑，是指在建筑的全寿命期内，节约资源、保护环境、减少污染，为使用者提供健康、适用、高效的使用空间，最大限度地实现人与自然和谐共生的高质量建筑，包括民用建筑和工业建筑。</w:t>
      </w:r>
    </w:p>
    <w:p>
      <w:pPr>
        <w:pStyle w:val="Normal"/>
        <w:spacing w:lineRule="exact" w:line="560"/>
        <w:ind w:firstLineChars="200" w:startChars="0" w:start="0" w:endChars="0" w:end="0"/>
        <w:rPr/>
      </w:pPr>
      <w:r>
        <w:rPr>
          <w:rFonts w:eastAsia="黑体;SimHei"/>
          <w:bCs/>
          <w:szCs w:val="32"/>
        </w:rPr>
        <w:t>第四条</w:t>
      </w:r>
      <w:r>
        <w:rPr>
          <w:bCs/>
          <w:szCs w:val="32"/>
        </w:rPr>
        <w:t xml:space="preserve">  绿色建筑发展应当遵循统筹规划、政府引导、分类指导、市场推动、公众参与、因地制宜、绿色低碳、立足当前、着眼长远的原则。</w:t>
      </w:r>
    </w:p>
    <w:p>
      <w:pPr>
        <w:pStyle w:val="Normal"/>
        <w:spacing w:lineRule="exact" w:line="560"/>
        <w:ind w:firstLineChars="200" w:startChars="0" w:start="0" w:endChars="0" w:end="0"/>
        <w:rPr/>
      </w:pPr>
      <w:r>
        <w:rPr>
          <w:rFonts w:eastAsia="黑体;SimHei"/>
          <w:bCs/>
          <w:szCs w:val="32"/>
        </w:rPr>
        <w:t>第五条</w:t>
      </w:r>
      <w:r>
        <w:rPr>
          <w:bCs/>
          <w:szCs w:val="32"/>
        </w:rPr>
        <w:t xml:space="preserve">  绿色建筑按照国家规定实行等级管理，严格执行国家、四川省的相关要求。</w:t>
      </w:r>
    </w:p>
    <w:p>
      <w:pPr>
        <w:pStyle w:val="Normal"/>
        <w:spacing w:lineRule="exact" w:line="540"/>
        <w:ind w:firstLineChars="200" w:startChars="0" w:start="0" w:endChars="0" w:end="0"/>
        <w:rPr>
          <w:bCs/>
          <w:szCs w:val="32"/>
        </w:rPr>
      </w:pPr>
      <w:r>
        <w:rPr>
          <w:bCs/>
          <w:szCs w:val="32"/>
        </w:rPr>
        <w:t>市和区（市）县人民政府可以结合辖区内绿色建筑发展实际，制定绿色建筑执行要求。</w:t>
      </w:r>
    </w:p>
    <w:p>
      <w:pPr>
        <w:pStyle w:val="Normal"/>
        <w:spacing w:lineRule="exact" w:line="540"/>
        <w:ind w:firstLineChars="200" w:startChars="0" w:start="0" w:endChars="0" w:end="0"/>
        <w:rPr>
          <w:bCs/>
          <w:szCs w:val="32"/>
        </w:rPr>
      </w:pPr>
      <w:r>
        <w:rPr>
          <w:bCs/>
          <w:szCs w:val="32"/>
        </w:rPr>
        <w:t>前款所述绿色建筑执行要求，包含绿色建筑等级、装配式建筑装配率、建筑平均节能率。</w:t>
      </w:r>
    </w:p>
    <w:p>
      <w:pPr>
        <w:pStyle w:val="Normal"/>
        <w:spacing w:lineRule="exact" w:line="560"/>
        <w:ind w:firstLineChars="200" w:startChars="0" w:start="0" w:endChars="0" w:end="0"/>
        <w:rPr/>
      </w:pPr>
      <w:r>
        <w:rPr>
          <w:rFonts w:eastAsia="黑体;SimHei"/>
          <w:bCs/>
          <w:szCs w:val="32"/>
        </w:rPr>
        <w:t>第六条</w:t>
      </w:r>
      <w:r>
        <w:rPr>
          <w:bCs/>
          <w:szCs w:val="32"/>
        </w:rPr>
        <w:t xml:space="preserve">  市和区（市）县人民政府应当全面推动绿色建筑发展，将其纳入本级国民经济和社会发展规划体系、能源消费强度和总量双控考核体系，统筹协调辖区内绿色建筑发展的重大问题。</w:t>
      </w:r>
    </w:p>
    <w:p>
      <w:pPr>
        <w:pStyle w:val="Normal"/>
        <w:spacing w:lineRule="exact" w:line="560"/>
        <w:ind w:firstLineChars="200" w:startChars="0" w:start="0" w:endChars="0" w:end="0"/>
        <w:rPr/>
      </w:pPr>
      <w:r>
        <w:rPr>
          <w:rFonts w:eastAsia="黑体;SimHei"/>
          <w:bCs/>
          <w:szCs w:val="32"/>
        </w:rPr>
        <w:t>第七条</w:t>
      </w:r>
      <w:r>
        <w:rPr>
          <w:bCs/>
          <w:szCs w:val="32"/>
        </w:rPr>
        <w:t xml:space="preserve">  市和区（市）县住建主管部门负责本辖区内绿色建筑发展相关活动的指导和监督管理。</w:t>
      </w:r>
    </w:p>
    <w:p>
      <w:pPr>
        <w:pStyle w:val="Normal"/>
        <w:spacing w:lineRule="exact" w:line="540"/>
        <w:ind w:firstLineChars="200" w:startChars="0" w:start="0" w:endChars="0" w:end="0"/>
        <w:rPr>
          <w:bCs/>
          <w:szCs w:val="32"/>
        </w:rPr>
      </w:pPr>
      <w:r>
        <w:rPr>
          <w:bCs/>
          <w:szCs w:val="32"/>
        </w:rPr>
        <w:t>市和区（市）县发展改革、经信、科技、财政、规划和自然资源、生态环境、城市管理、市场监管等有关部门，按照各自职责共同做好绿色建筑发展有关工作。</w:t>
      </w:r>
    </w:p>
    <w:p>
      <w:pPr>
        <w:pStyle w:val="Normal"/>
        <w:spacing w:lineRule="exact" w:line="560"/>
        <w:ind w:firstLineChars="200" w:startChars="0" w:start="0" w:endChars="0" w:end="0"/>
        <w:rPr/>
      </w:pPr>
      <w:r>
        <w:rPr>
          <w:rFonts w:eastAsia="黑体;SimHei"/>
          <w:bCs/>
          <w:szCs w:val="32"/>
        </w:rPr>
        <w:t xml:space="preserve">第八条 </w:t>
      </w:r>
      <w:r>
        <w:rPr>
          <w:bCs/>
          <w:szCs w:val="32"/>
        </w:rPr>
        <w:t xml:space="preserve"> 市和区（市）县人民政府可以按照国家、四川省和本市有关规定，对在绿色建筑发展中做出显著成绩的单位和个人给予表彰和奖励。</w:t>
      </w:r>
    </w:p>
    <w:p>
      <w:pPr>
        <w:pStyle w:val="Normal"/>
        <w:spacing w:lineRule="exact" w:line="560"/>
        <w:ind w:firstLineChars="200" w:startChars="0" w:start="0" w:endChars="0" w:end="0"/>
        <w:rPr/>
      </w:pPr>
      <w:r>
        <w:rPr>
          <w:rFonts w:eastAsia="黑体;SimHei"/>
          <w:bCs/>
          <w:szCs w:val="32"/>
        </w:rPr>
        <w:t>第九条</w:t>
      </w:r>
      <w:r>
        <w:rPr>
          <w:bCs/>
          <w:szCs w:val="32"/>
        </w:rPr>
        <w:t xml:space="preserve">  市和区（市）县住建主管部门应当开展绿色建筑宣传，普及绿色建筑专业知识，提升社会公众对绿色建筑的认识。</w:t>
      </w:r>
    </w:p>
    <w:p>
      <w:pPr>
        <w:pStyle w:val="Normal"/>
        <w:spacing w:lineRule="exact" w:line="540"/>
        <w:ind w:firstLineChars="200" w:startChars="0" w:start="0" w:endChars="0" w:end="0"/>
        <w:rPr>
          <w:bCs/>
          <w:szCs w:val="32"/>
        </w:rPr>
      </w:pPr>
      <w:r>
        <w:rPr>
          <w:bCs/>
          <w:szCs w:val="32"/>
        </w:rPr>
        <w:t>鼓励建筑行业协会建立健全绿色建筑技术服务体系，开展绿色建筑宣传培训、技术交流、信息咨询，提升相关从业人员专业能力、企业技术水平和整体实力。</w:t>
      </w:r>
    </w:p>
    <w:p>
      <w:pPr>
        <w:pStyle w:val="Normal"/>
        <w:spacing w:lineRule="exact" w:line="560"/>
        <w:jc w:val="center"/>
        <w:rPr>
          <w:rFonts w:eastAsia="黑体;SimHei"/>
          <w:bCs/>
          <w:szCs w:val="32"/>
        </w:rPr>
      </w:pPr>
      <w:r>
        <w:rPr>
          <w:rFonts w:eastAsia="黑体;SimHei"/>
          <w:bCs/>
          <w:szCs w:val="32"/>
        </w:rPr>
      </w:r>
    </w:p>
    <w:p>
      <w:pPr>
        <w:pStyle w:val="Normal"/>
        <w:spacing w:lineRule="exact" w:line="560"/>
        <w:jc w:val="center"/>
        <w:rPr/>
      </w:pPr>
      <w:r>
        <w:rPr>
          <w:rFonts w:eastAsia="黑体;SimHei"/>
          <w:bCs/>
          <w:szCs w:val="32"/>
        </w:rPr>
        <w:t>第二章</w:t>
      </w:r>
      <w:r>
        <w:rPr>
          <w:rFonts w:hint="eastAsia" w:eastAsia="黑体;SimHei"/>
          <w:bCs/>
          <w:szCs w:val="32"/>
        </w:rPr>
        <w:t xml:space="preserve">  </w:t>
      </w:r>
      <w:r>
        <w:rPr>
          <w:rFonts w:eastAsia="黑体;SimHei"/>
          <w:bCs/>
          <w:szCs w:val="32"/>
        </w:rPr>
        <w:t>规划和立项</w:t>
      </w:r>
    </w:p>
    <w:p>
      <w:pPr>
        <w:pStyle w:val="Normal"/>
        <w:spacing w:lineRule="exact" w:line="560"/>
        <w:ind w:firstLineChars="200" w:startChars="0" w:start="0" w:endChars="0" w:end="0"/>
        <w:rPr>
          <w:rFonts w:eastAsia="黑体;SimHei" w:hint="eastAsia"/>
          <w:bCs/>
          <w:szCs w:val="32"/>
        </w:rPr>
      </w:pPr>
      <w:r>
        <w:rPr>
          <w:rFonts w:eastAsia="黑体;SimHei" w:hint="eastAsia"/>
          <w:bCs/>
          <w:szCs w:val="32"/>
        </w:rPr>
      </w:r>
    </w:p>
    <w:p>
      <w:pPr>
        <w:pStyle w:val="Normal"/>
        <w:spacing w:lineRule="exact" w:line="560"/>
        <w:ind w:firstLineChars="200" w:startChars="0" w:start="0" w:endChars="0" w:end="0"/>
        <w:rPr/>
      </w:pPr>
      <w:r>
        <w:rPr>
          <w:rFonts w:eastAsia="黑体;SimHei"/>
          <w:bCs/>
          <w:szCs w:val="32"/>
        </w:rPr>
        <w:t>第十条</w:t>
      </w:r>
      <w:r>
        <w:rPr>
          <w:bCs/>
          <w:szCs w:val="32"/>
        </w:rPr>
        <w:t xml:space="preserve">  市住建主管部门应当会同发展改革、规划和自然资源等部门组织编制绿色建筑发展规划，纳入建筑行业相关专项规划内容，报市人民政府批准后向社会公布。</w:t>
      </w:r>
    </w:p>
    <w:p>
      <w:pPr>
        <w:pStyle w:val="Normal"/>
        <w:spacing w:lineRule="exact" w:line="540"/>
        <w:ind w:firstLineChars="200" w:startChars="0" w:start="0" w:endChars="0" w:end="0"/>
        <w:rPr>
          <w:bCs/>
          <w:szCs w:val="32"/>
        </w:rPr>
      </w:pPr>
      <w:r>
        <w:rPr>
          <w:bCs/>
          <w:szCs w:val="32"/>
        </w:rPr>
        <w:t>绿色建筑发展规划应当明确绿色建筑发展目标、分级分类标准、执行要求、既有建筑绿色改造、技术推广等内容。</w:t>
      </w:r>
    </w:p>
    <w:p>
      <w:pPr>
        <w:pStyle w:val="Normal"/>
        <w:spacing w:lineRule="exact" w:line="540"/>
        <w:ind w:firstLineChars="200" w:startChars="0" w:start="0" w:endChars="0" w:end="0"/>
        <w:rPr>
          <w:bCs/>
          <w:szCs w:val="32"/>
        </w:rPr>
      </w:pPr>
      <w:r>
        <w:rPr>
          <w:bCs/>
          <w:szCs w:val="32"/>
        </w:rPr>
        <w:t>绿色建筑发展规划应当符合国土空间规划，并与生态环境保护、能源综合利用、水资源综合利用、地下空间开发利用、固体废物综合利用、城市基础设施建设等相关规划相衔接。</w:t>
      </w:r>
    </w:p>
    <w:p>
      <w:pPr>
        <w:pStyle w:val="Normal"/>
        <w:spacing w:lineRule="exact" w:line="560"/>
        <w:ind w:firstLineChars="200" w:startChars="0" w:start="0" w:endChars="0" w:end="0"/>
        <w:rPr/>
      </w:pPr>
      <w:r>
        <w:rPr>
          <w:rFonts w:eastAsia="黑体;SimHei"/>
          <w:bCs/>
          <w:szCs w:val="32"/>
        </w:rPr>
        <w:t xml:space="preserve">第十一条 </w:t>
      </w:r>
      <w:r>
        <w:rPr>
          <w:bCs/>
          <w:szCs w:val="32"/>
        </w:rPr>
        <w:t xml:space="preserve"> 本市绿色建筑等级，民用建筑分为基本级、一星级、二星级、三星级，工业建筑分为一星级、二星级、三星级。</w:t>
      </w:r>
    </w:p>
    <w:p>
      <w:pPr>
        <w:pStyle w:val="Normal"/>
        <w:spacing w:lineRule="exact" w:line="540"/>
        <w:ind w:firstLineChars="200" w:startChars="0" w:start="0" w:endChars="0" w:end="0"/>
        <w:rPr>
          <w:bCs/>
          <w:szCs w:val="32"/>
        </w:rPr>
      </w:pPr>
      <w:r>
        <w:rPr>
          <w:bCs/>
          <w:szCs w:val="32"/>
        </w:rPr>
        <w:t>本市新建民用建筑的规划、设计、建设，应当采用基本级及以上绿色建筑标准；新建工业建筑的规划、设计、建设，应当采用一星级及以上绿色建筑标准。</w:t>
      </w:r>
    </w:p>
    <w:p>
      <w:pPr>
        <w:pStyle w:val="Normal"/>
        <w:spacing w:lineRule="exact" w:line="560"/>
        <w:ind w:firstLineChars="200" w:startChars="0" w:start="0" w:endChars="0" w:end="0"/>
        <w:rPr/>
      </w:pPr>
      <w:r>
        <w:rPr>
          <w:rFonts w:eastAsia="黑体;SimHei"/>
          <w:bCs/>
          <w:szCs w:val="32"/>
        </w:rPr>
        <w:t>第十二条</w:t>
      </w:r>
      <w:r>
        <w:rPr>
          <w:bCs/>
          <w:szCs w:val="32"/>
        </w:rPr>
        <w:t xml:space="preserve">  新建建筑应当按照国家、四川省和本市关于装配式建筑的有关要求分级分类进行规划、设计、建设。</w:t>
      </w:r>
    </w:p>
    <w:p>
      <w:pPr>
        <w:pStyle w:val="Normal"/>
        <w:spacing w:lineRule="exact" w:line="560"/>
        <w:ind w:firstLineChars="200" w:startChars="0" w:start="0" w:endChars="0" w:end="0"/>
        <w:rPr/>
      </w:pPr>
      <w:r>
        <w:rPr>
          <w:rFonts w:eastAsia="黑体;SimHei"/>
          <w:bCs/>
          <w:szCs w:val="32"/>
        </w:rPr>
        <w:t>第十三条</w:t>
      </w:r>
      <w:r>
        <w:rPr>
          <w:bCs/>
          <w:szCs w:val="32"/>
        </w:rPr>
        <w:t xml:space="preserve">  建设单位应当在建设项目可行性研究报告等文件载明绿色建筑执行要求，并将相关建设费用纳入工程总投资。</w:t>
      </w:r>
    </w:p>
    <w:p>
      <w:pPr>
        <w:pStyle w:val="Normal"/>
        <w:spacing w:lineRule="exact" w:line="540"/>
        <w:ind w:firstLineChars="200" w:startChars="0" w:start="0" w:endChars="0" w:end="0"/>
        <w:rPr>
          <w:bCs/>
          <w:szCs w:val="32"/>
        </w:rPr>
      </w:pPr>
      <w:r>
        <w:rPr>
          <w:bCs/>
          <w:szCs w:val="32"/>
        </w:rPr>
        <w:t xml:space="preserve">发展改革主管部门应当将住建主管部门确定的绿色建筑执行要求纳入政府投资项目批复文件，并将相关建设费用计入工程总投资。 </w:t>
      </w:r>
    </w:p>
    <w:p>
      <w:pPr>
        <w:pStyle w:val="Normal"/>
        <w:spacing w:lineRule="exact" w:line="560"/>
        <w:ind w:firstLineChars="200" w:startChars="0" w:start="0" w:endChars="0" w:end="0"/>
        <w:rPr/>
      </w:pPr>
      <w:r>
        <w:rPr>
          <w:rFonts w:eastAsia="黑体;SimHei"/>
          <w:bCs/>
          <w:szCs w:val="32"/>
        </w:rPr>
        <w:t>第十四条</w:t>
      </w:r>
      <w:r>
        <w:rPr>
          <w:bCs/>
          <w:szCs w:val="32"/>
        </w:rPr>
        <w:t xml:space="preserve">  规划和自然资源主管部门应当将建设条件中的绿色建筑执行要求纳入国有土地出让条件、出让方案及合同附件或者国有土地划拨决定书附件。</w:t>
      </w:r>
    </w:p>
    <w:p>
      <w:pPr>
        <w:pStyle w:val="Normal"/>
        <w:spacing w:lineRule="exact" w:line="560"/>
        <w:ind w:firstLineChars="200" w:startChars="0" w:start="0" w:endChars="0" w:end="0"/>
        <w:rPr/>
      </w:pPr>
      <w:r>
        <w:rPr>
          <w:rFonts w:eastAsia="黑体;SimHei"/>
          <w:bCs/>
          <w:szCs w:val="32"/>
        </w:rPr>
        <w:t>第十五条</w:t>
      </w:r>
      <w:r>
        <w:rPr>
          <w:bCs/>
          <w:szCs w:val="32"/>
        </w:rPr>
        <w:t xml:space="preserve">  建设单位应当将建筑总平布局、朝向、日照等规划要求纳入绿色建筑建设工程设计方案。</w:t>
      </w:r>
    </w:p>
    <w:p>
      <w:pPr>
        <w:pStyle w:val="Normal"/>
        <w:spacing w:lineRule="exact" w:line="560"/>
        <w:jc w:val="center"/>
        <w:rPr>
          <w:rFonts w:eastAsia="黑体;SimHei"/>
          <w:bCs/>
          <w:szCs w:val="32"/>
        </w:rPr>
      </w:pPr>
      <w:r>
        <w:rPr>
          <w:rFonts w:eastAsia="黑体;SimHei"/>
          <w:bCs/>
          <w:szCs w:val="32"/>
        </w:rPr>
      </w:r>
    </w:p>
    <w:p>
      <w:pPr>
        <w:pStyle w:val="Normal"/>
        <w:spacing w:lineRule="exact" w:line="560"/>
        <w:jc w:val="center"/>
        <w:rPr/>
      </w:pPr>
      <w:r>
        <w:rPr>
          <w:rFonts w:eastAsia="黑体;SimHei"/>
          <w:bCs/>
          <w:szCs w:val="32"/>
        </w:rPr>
        <w:t>第三章</w:t>
      </w:r>
      <w:r>
        <w:rPr>
          <w:rFonts w:hint="eastAsia" w:eastAsia="黑体;SimHei"/>
          <w:bCs/>
          <w:szCs w:val="32"/>
        </w:rPr>
        <w:t xml:space="preserve">  </w:t>
      </w:r>
      <w:r>
        <w:rPr>
          <w:rFonts w:eastAsia="黑体;SimHei"/>
          <w:bCs/>
          <w:szCs w:val="32"/>
        </w:rPr>
        <w:t>设计和建设</w:t>
      </w:r>
    </w:p>
    <w:p>
      <w:pPr>
        <w:pStyle w:val="Normal"/>
        <w:spacing w:lineRule="exact" w:line="560"/>
        <w:ind w:firstLineChars="200" w:startChars="0" w:start="0" w:endChars="0" w:end="0"/>
        <w:rPr>
          <w:rFonts w:eastAsia="黑体;SimHei" w:hint="eastAsia"/>
          <w:bCs/>
          <w:szCs w:val="32"/>
        </w:rPr>
      </w:pPr>
      <w:r>
        <w:rPr>
          <w:rFonts w:eastAsia="黑体;SimHei" w:hint="eastAsia"/>
          <w:bCs/>
          <w:szCs w:val="32"/>
        </w:rPr>
      </w:r>
    </w:p>
    <w:p>
      <w:pPr>
        <w:pStyle w:val="Normal"/>
        <w:spacing w:lineRule="exact" w:line="560"/>
        <w:ind w:firstLineChars="200" w:startChars="0" w:start="0" w:endChars="0" w:end="0"/>
        <w:rPr/>
      </w:pPr>
      <w:r>
        <w:rPr>
          <w:rFonts w:eastAsia="黑体;SimHei"/>
          <w:bCs/>
          <w:szCs w:val="32"/>
        </w:rPr>
        <w:t>第十六条</w:t>
      </w:r>
      <w:r>
        <w:rPr>
          <w:bCs/>
          <w:szCs w:val="32"/>
        </w:rPr>
        <w:t xml:space="preserve">  建设单位应当按照绿色建筑执行要求进行建设，并在咨询、设计、施工、监理等委托文件中载明绿色建筑执行要求。</w:t>
      </w:r>
    </w:p>
    <w:p>
      <w:pPr>
        <w:pStyle w:val="Normal"/>
        <w:spacing w:lineRule="exact" w:line="540"/>
        <w:ind w:firstLineChars="200" w:startChars="0" w:start="0" w:endChars="0" w:end="0"/>
        <w:rPr>
          <w:bCs/>
          <w:szCs w:val="32"/>
        </w:rPr>
      </w:pPr>
      <w:r>
        <w:rPr>
          <w:bCs/>
          <w:szCs w:val="32"/>
        </w:rPr>
        <w:t>建设单位不得明示或者暗示设计、施工、监理等单位降低绿色建筑执行要求，使用不符合施工图设计文件要求的建筑材料、建筑构配件和设施设备。</w:t>
      </w:r>
    </w:p>
    <w:p>
      <w:pPr>
        <w:pStyle w:val="Normal"/>
        <w:spacing w:lineRule="exact" w:line="560"/>
        <w:ind w:firstLineChars="200" w:startChars="0" w:start="0" w:endChars="0" w:end="0"/>
        <w:rPr/>
      </w:pPr>
      <w:r>
        <w:rPr>
          <w:rFonts w:eastAsia="黑体;SimHei"/>
          <w:bCs/>
          <w:szCs w:val="32"/>
        </w:rPr>
        <w:t>第十七条</w:t>
      </w:r>
      <w:r>
        <w:rPr>
          <w:bCs/>
          <w:szCs w:val="32"/>
        </w:rPr>
        <w:t xml:space="preserve">  设计单位应当按照绿色建筑执行要求，开展施工图设计。施工图设计文件应当包含绿色建筑专篇。法律、法规另有规定的，从其规定。</w:t>
      </w:r>
    </w:p>
    <w:p>
      <w:pPr>
        <w:pStyle w:val="Normal"/>
        <w:spacing w:lineRule="exact" w:line="560"/>
        <w:ind w:firstLineChars="200" w:startChars="0" w:start="0" w:endChars="0" w:end="0"/>
        <w:rPr/>
      </w:pPr>
      <w:r>
        <w:rPr>
          <w:rFonts w:eastAsia="黑体;SimHei"/>
          <w:bCs/>
          <w:szCs w:val="32"/>
        </w:rPr>
        <w:t>第十八条</w:t>
      </w:r>
      <w:r>
        <w:rPr>
          <w:bCs/>
          <w:szCs w:val="32"/>
        </w:rPr>
        <w:t xml:space="preserve">  施工图审查机构应当对施工图设计文件是否符合绿色建筑执行要求进行审查，未经审查或者经审查不符合要求的，不得出具施工图设计文件审查合格书。</w:t>
      </w:r>
    </w:p>
    <w:p>
      <w:pPr>
        <w:pStyle w:val="Normal"/>
        <w:spacing w:lineRule="exact" w:line="540"/>
        <w:ind w:firstLineChars="200" w:startChars="0" w:start="0" w:endChars="0" w:end="0"/>
        <w:rPr>
          <w:bCs/>
          <w:szCs w:val="32"/>
        </w:rPr>
      </w:pPr>
      <w:r>
        <w:rPr>
          <w:bCs/>
          <w:szCs w:val="32"/>
        </w:rPr>
        <w:t>实行施工图设计文件自审承诺制的项目，建设、设计单位应当确保施工图设计文件符合绿色建筑执行要求，并予以书面承诺。</w:t>
      </w:r>
    </w:p>
    <w:p>
      <w:pPr>
        <w:pStyle w:val="Normal"/>
        <w:spacing w:lineRule="exact" w:line="560"/>
        <w:ind w:firstLineChars="200" w:startChars="0" w:start="0" w:endChars="0" w:end="0"/>
        <w:rPr/>
      </w:pPr>
      <w:r>
        <w:rPr>
          <w:rFonts w:eastAsia="黑体;SimHei"/>
          <w:bCs/>
          <w:szCs w:val="32"/>
        </w:rPr>
        <w:t>第十九条</w:t>
      </w:r>
      <w:r>
        <w:rPr>
          <w:bCs/>
          <w:szCs w:val="32"/>
        </w:rPr>
        <w:t xml:space="preserve">  建设单位应当组织相关责任主体做好施工技术交底，将绿色建筑执行要求作为交底内容。</w:t>
      </w:r>
    </w:p>
    <w:p>
      <w:pPr>
        <w:pStyle w:val="Normal"/>
        <w:spacing w:lineRule="exact" w:line="540"/>
        <w:ind w:firstLineChars="200" w:startChars="0" w:start="0" w:endChars="0" w:end="0"/>
        <w:rPr>
          <w:bCs/>
          <w:szCs w:val="32"/>
        </w:rPr>
      </w:pPr>
      <w:r>
        <w:rPr>
          <w:bCs/>
          <w:szCs w:val="32"/>
        </w:rPr>
        <w:t>施工单位应当执行国家绿色施工有关技术标准，按照绿色建筑执行要求，根据合格的施工图设计文件编制施工方案并组织施工，并在施工现场公示建设项目的绿色建筑执行要求。</w:t>
      </w:r>
    </w:p>
    <w:p>
      <w:pPr>
        <w:pStyle w:val="Normal"/>
        <w:spacing w:lineRule="exact" w:line="560"/>
        <w:ind w:firstLineChars="200" w:startChars="0" w:start="0" w:endChars="0" w:end="0"/>
        <w:rPr/>
      </w:pPr>
      <w:r>
        <w:rPr>
          <w:rFonts w:eastAsia="黑体;SimHei"/>
          <w:bCs/>
          <w:szCs w:val="32"/>
        </w:rPr>
        <w:t>第二十条</w:t>
      </w:r>
      <w:r>
        <w:rPr>
          <w:bCs/>
          <w:szCs w:val="32"/>
        </w:rPr>
        <w:t xml:space="preserve">  监理单位应当按照绿色建筑执行要求，根据合格的施工图设计文件、施工方案，编制监理方案并实施监理。</w:t>
      </w:r>
    </w:p>
    <w:p>
      <w:pPr>
        <w:pStyle w:val="Normal"/>
        <w:spacing w:lineRule="exact" w:line="560"/>
        <w:ind w:firstLineChars="200" w:startChars="0" w:start="0" w:endChars="0" w:end="0"/>
        <w:rPr/>
      </w:pPr>
      <w:r>
        <w:rPr>
          <w:rFonts w:eastAsia="黑体;SimHei"/>
          <w:bCs/>
          <w:szCs w:val="32"/>
        </w:rPr>
        <w:t>第二十一条</w:t>
      </w:r>
      <w:r>
        <w:rPr>
          <w:bCs/>
          <w:szCs w:val="32"/>
        </w:rPr>
        <w:t xml:space="preserve">  工程质量检测机构应当按照建设工程质量管理要求和相关标准，对绿色建筑工程质量进行检测，并出具检测报告。</w:t>
      </w:r>
    </w:p>
    <w:p>
      <w:pPr>
        <w:pStyle w:val="Normal"/>
        <w:spacing w:lineRule="exact" w:line="560"/>
        <w:ind w:firstLineChars="200" w:startChars="0" w:start="0" w:endChars="0" w:end="0"/>
        <w:rPr/>
      </w:pPr>
      <w:r>
        <w:rPr>
          <w:rFonts w:eastAsia="黑体;SimHei"/>
          <w:bCs/>
          <w:szCs w:val="32"/>
        </w:rPr>
        <w:t>第二十二条</w:t>
      </w:r>
      <w:r>
        <w:rPr>
          <w:bCs/>
          <w:szCs w:val="32"/>
        </w:rPr>
        <w:t xml:space="preserve">  住建主管部门应当将绿色建筑执行情况纳入竣工验收监督范围。</w:t>
      </w:r>
    </w:p>
    <w:p>
      <w:pPr>
        <w:pStyle w:val="Normal"/>
        <w:spacing w:lineRule="exact" w:line="540"/>
        <w:ind w:firstLineChars="200" w:startChars="0" w:start="0" w:endChars="0" w:end="0"/>
        <w:rPr>
          <w:bCs/>
          <w:szCs w:val="32"/>
        </w:rPr>
      </w:pPr>
      <w:r>
        <w:rPr>
          <w:bCs/>
          <w:szCs w:val="32"/>
        </w:rPr>
        <w:t>建设单位组织设计、施工、监理等相关单位开展竣工验收时，应当检查是否符合绿色建筑执行要求，不符合要求的，不得通过竣工验收。</w:t>
      </w:r>
    </w:p>
    <w:p>
      <w:pPr>
        <w:pStyle w:val="Normal"/>
        <w:spacing w:lineRule="exact" w:line="540"/>
        <w:ind w:firstLineChars="200" w:startChars="0" w:start="0" w:endChars="0" w:end="0"/>
        <w:rPr>
          <w:bCs/>
          <w:szCs w:val="32"/>
        </w:rPr>
      </w:pPr>
      <w:r>
        <w:rPr>
          <w:bCs/>
          <w:szCs w:val="32"/>
        </w:rPr>
        <w:t>工程竣工永久性标牌应当载明绿色建筑执行要求。</w:t>
      </w:r>
    </w:p>
    <w:p>
      <w:pPr>
        <w:pStyle w:val="Normal"/>
        <w:spacing w:lineRule="exact" w:line="560"/>
        <w:ind w:firstLineChars="200" w:startChars="0" w:start="0" w:endChars="0" w:end="0"/>
        <w:rPr/>
      </w:pPr>
      <w:r>
        <w:rPr>
          <w:rFonts w:eastAsia="黑体;SimHei"/>
          <w:bCs/>
          <w:szCs w:val="32"/>
        </w:rPr>
        <w:t>第二十三条</w:t>
      </w:r>
      <w:r>
        <w:rPr>
          <w:bCs/>
          <w:szCs w:val="32"/>
        </w:rPr>
        <w:t xml:space="preserve">  建设单位应当在商品房销售现场公示绿色建筑执行要求及主要绿色性能指标、节能措施和保护要求、保温工程保修期等信息，并在商品房销售合同、住宅质量保证书和住宅使用说明书中载明。</w:t>
      </w:r>
    </w:p>
    <w:p>
      <w:pPr>
        <w:pStyle w:val="Normal"/>
        <w:spacing w:lineRule="exact" w:line="560"/>
        <w:ind w:firstLineChars="200" w:startChars="0" w:start="0" w:endChars="0" w:end="0"/>
        <w:rPr/>
      </w:pPr>
      <w:r>
        <w:rPr>
          <w:rFonts w:eastAsia="黑体;SimHei"/>
          <w:bCs/>
          <w:szCs w:val="32"/>
        </w:rPr>
        <w:t>第二十四条</w:t>
      </w:r>
      <w:r>
        <w:rPr>
          <w:bCs/>
          <w:szCs w:val="32"/>
        </w:rPr>
        <w:t xml:space="preserve">  住建主管部门及其所属监督机构应当按照各自职责和项目管理权限，依据法律法规和绿色建筑执行要求，采取下列措施进行监督检查：</w:t>
      </w:r>
    </w:p>
    <w:p>
      <w:pPr>
        <w:pStyle w:val="Normal"/>
        <w:spacing w:lineRule="exact" w:line="540"/>
        <w:ind w:firstLineChars="200" w:startChars="0" w:start="0" w:endChars="0" w:end="0"/>
        <w:rPr>
          <w:bCs/>
          <w:szCs w:val="32"/>
        </w:rPr>
      </w:pPr>
      <w:r>
        <w:rPr>
          <w:bCs/>
          <w:szCs w:val="32"/>
        </w:rPr>
        <w:t>（一）要求被检查单位提供有关工程质量的文件和资料；</w:t>
      </w:r>
    </w:p>
    <w:p>
      <w:pPr>
        <w:pStyle w:val="Normal"/>
        <w:spacing w:lineRule="exact" w:line="540"/>
        <w:ind w:firstLineChars="200" w:startChars="0" w:start="0" w:endChars="0" w:end="0"/>
        <w:rPr>
          <w:bCs/>
          <w:szCs w:val="32"/>
        </w:rPr>
      </w:pPr>
      <w:r>
        <w:rPr>
          <w:bCs/>
          <w:szCs w:val="32"/>
        </w:rPr>
        <w:t>（二）进入被检查单位施工现场进行检查；</w:t>
      </w:r>
    </w:p>
    <w:p>
      <w:pPr>
        <w:pStyle w:val="Normal"/>
        <w:spacing w:lineRule="exact" w:line="540"/>
        <w:ind w:firstLineChars="200" w:startChars="0" w:start="0" w:endChars="0" w:end="0"/>
        <w:rPr>
          <w:bCs/>
          <w:szCs w:val="32"/>
        </w:rPr>
      </w:pPr>
      <w:r>
        <w:rPr>
          <w:bCs/>
          <w:szCs w:val="32"/>
        </w:rPr>
        <w:t>（三）发现有影响工程质量的问题时，责令限期改正。</w:t>
      </w:r>
    </w:p>
    <w:p>
      <w:pPr>
        <w:pStyle w:val="Normal"/>
        <w:spacing w:lineRule="exact" w:line="560"/>
        <w:ind w:firstLineChars="200" w:startChars="0" w:start="0" w:endChars="0" w:end="0"/>
        <w:rPr/>
      </w:pPr>
      <w:r>
        <w:rPr>
          <w:rFonts w:eastAsia="黑体;SimHei"/>
          <w:bCs/>
          <w:szCs w:val="32"/>
        </w:rPr>
        <w:t>第二十五条</w:t>
      </w:r>
      <w:r>
        <w:rPr>
          <w:bCs/>
          <w:szCs w:val="32"/>
        </w:rPr>
        <w:t xml:space="preserve">  绿色建筑标识遵循自愿申报原则，其认定程序和标准按照国家、四川省和本市有关规定执行。 </w:t>
      </w:r>
    </w:p>
    <w:p>
      <w:pPr>
        <w:pStyle w:val="Normal"/>
        <w:spacing w:lineRule="exact" w:line="560"/>
        <w:jc w:val="center"/>
        <w:rPr>
          <w:bCs/>
          <w:szCs w:val="32"/>
        </w:rPr>
      </w:pPr>
      <w:r>
        <w:rPr>
          <w:bCs/>
          <w:szCs w:val="32"/>
        </w:rPr>
      </w:r>
    </w:p>
    <w:p>
      <w:pPr>
        <w:pStyle w:val="Normal"/>
        <w:spacing w:lineRule="exact" w:line="560"/>
        <w:jc w:val="center"/>
        <w:rPr>
          <w:rFonts w:eastAsia="黑体;SimHei" w:hint="eastAsia"/>
          <w:bCs/>
          <w:szCs w:val="32"/>
        </w:rPr>
      </w:pPr>
      <w:r>
        <w:rPr>
          <w:rFonts w:eastAsia="黑体;SimHei"/>
          <w:bCs/>
          <w:szCs w:val="32"/>
        </w:rPr>
        <w:t>第四章</w:t>
      </w:r>
      <w:r>
        <w:rPr>
          <w:rFonts w:hint="eastAsia" w:eastAsia="黑体;SimHei"/>
          <w:bCs/>
          <w:szCs w:val="32"/>
        </w:rPr>
        <w:t xml:space="preserve">  </w:t>
      </w:r>
      <w:r>
        <w:rPr>
          <w:rFonts w:eastAsia="黑体;SimHei"/>
          <w:bCs/>
          <w:szCs w:val="32"/>
        </w:rPr>
        <w:t>运行和改造</w:t>
      </w:r>
    </w:p>
    <w:p>
      <w:pPr>
        <w:pStyle w:val="Style12"/>
        <w:rPr>
          <w:rFonts w:eastAsia="黑体;SimHei" w:hint="eastAsia"/>
          <w:bCs/>
          <w:szCs w:val="32"/>
        </w:rPr>
      </w:pPr>
      <w:r>
        <w:rPr>
          <w:rFonts w:eastAsia="黑体;SimHei" w:hint="eastAsia"/>
          <w:bCs/>
          <w:szCs w:val="32"/>
        </w:rPr>
      </w:r>
    </w:p>
    <w:p>
      <w:pPr>
        <w:pStyle w:val="Normal"/>
        <w:spacing w:lineRule="exact" w:line="560"/>
        <w:ind w:firstLineChars="200" w:startChars="0" w:start="0" w:endChars="0" w:end="0"/>
        <w:rPr/>
      </w:pPr>
      <w:r>
        <w:rPr>
          <w:rFonts w:eastAsia="黑体;SimHei"/>
          <w:bCs/>
          <w:szCs w:val="32"/>
        </w:rPr>
        <w:t>第二十六条</w:t>
      </w:r>
      <w:r>
        <w:rPr>
          <w:bCs/>
          <w:szCs w:val="32"/>
        </w:rPr>
        <w:t xml:space="preserve">  工程竣工验收后，建设单位应当及时向绿色建筑业主、使用权人或者其委托的物业服务人移交绿色建筑相关技术资料。</w:t>
      </w:r>
    </w:p>
    <w:p>
      <w:pPr>
        <w:pStyle w:val="Normal"/>
        <w:spacing w:lineRule="exact" w:line="560"/>
        <w:ind w:firstLineChars="200" w:startChars="0" w:start="0" w:endChars="0" w:end="0"/>
        <w:rPr/>
      </w:pPr>
      <w:r>
        <w:rPr>
          <w:rFonts w:eastAsia="黑体;SimHei"/>
          <w:bCs/>
          <w:szCs w:val="32"/>
        </w:rPr>
        <w:t>第二十七条</w:t>
      </w:r>
      <w:r>
        <w:rPr>
          <w:bCs/>
          <w:szCs w:val="32"/>
        </w:rPr>
        <w:t xml:space="preserve">  绿色建筑业主或者使用权人应当对绿色建筑设施设备进行维护和保养，也可以委托物业服务人实施，确保绿色建筑在运行中达到相应等级要求。</w:t>
      </w:r>
    </w:p>
    <w:p>
      <w:pPr>
        <w:pStyle w:val="Normal"/>
        <w:spacing w:lineRule="exact" w:line="540"/>
        <w:ind w:firstLineChars="200" w:startChars="0" w:start="0" w:endChars="0" w:end="0"/>
        <w:rPr>
          <w:bCs/>
          <w:szCs w:val="32"/>
        </w:rPr>
      </w:pPr>
      <w:r>
        <w:rPr>
          <w:bCs/>
          <w:szCs w:val="32"/>
        </w:rPr>
        <w:t>委托物业服务人实施的，服务合同应当载明绿色建筑相关设施设备定期维护和保养内容，并定期公示绿色建筑设施运行状况。</w:t>
      </w:r>
    </w:p>
    <w:p>
      <w:pPr>
        <w:pStyle w:val="Normal"/>
        <w:spacing w:lineRule="exact" w:line="540"/>
        <w:ind w:firstLineChars="200" w:startChars="0" w:start="0" w:endChars="0" w:end="0"/>
        <w:rPr>
          <w:bCs/>
          <w:szCs w:val="32"/>
        </w:rPr>
      </w:pPr>
      <w:r>
        <w:rPr>
          <w:bCs/>
          <w:szCs w:val="32"/>
        </w:rPr>
        <w:t>鼓励绿色建筑业主、使用权人或者其委托的物业服务人建立建筑智能化运行管理平台，提高建筑物设施、设备运行效率。</w:t>
      </w:r>
    </w:p>
    <w:p>
      <w:pPr>
        <w:pStyle w:val="Normal"/>
        <w:spacing w:lineRule="exact" w:line="540"/>
        <w:ind w:firstLineChars="200" w:startChars="0" w:start="0" w:endChars="0" w:end="0"/>
        <w:rPr>
          <w:bCs/>
          <w:szCs w:val="32"/>
        </w:rPr>
      </w:pPr>
      <w:r>
        <w:rPr>
          <w:bCs/>
          <w:szCs w:val="32"/>
        </w:rPr>
        <w:t>对建筑进行装修时，不得破坏原有的围护结构、能耗监测设备及系统、可再生能源利用系统等设施。</w:t>
      </w:r>
    </w:p>
    <w:p>
      <w:pPr>
        <w:pStyle w:val="Normal"/>
        <w:spacing w:lineRule="exact" w:line="560"/>
        <w:ind w:firstLineChars="200" w:startChars="0" w:start="0" w:endChars="0" w:end="0"/>
        <w:rPr/>
      </w:pPr>
      <w:r>
        <w:rPr>
          <w:rFonts w:eastAsia="黑体;SimHei"/>
          <w:bCs/>
          <w:szCs w:val="32"/>
        </w:rPr>
        <w:t>第二十八条</w:t>
      </w:r>
      <w:r>
        <w:rPr>
          <w:bCs/>
          <w:szCs w:val="32"/>
        </w:rPr>
        <w:t xml:space="preserve">  绿色建筑运行管理应当符合下列要求：</w:t>
      </w:r>
    </w:p>
    <w:p>
      <w:pPr>
        <w:pStyle w:val="Normal"/>
        <w:spacing w:lineRule="exact" w:line="540"/>
        <w:ind w:firstLineChars="200" w:startChars="0" w:start="0" w:endChars="0" w:end="0"/>
        <w:rPr>
          <w:bCs/>
          <w:szCs w:val="32"/>
        </w:rPr>
      </w:pPr>
      <w:r>
        <w:rPr>
          <w:bCs/>
          <w:szCs w:val="32"/>
        </w:rPr>
        <w:t>（一）节能、节水、室内外环境维护等管理制度完备；</w:t>
      </w:r>
    </w:p>
    <w:p>
      <w:pPr>
        <w:pStyle w:val="Normal"/>
        <w:spacing w:lineRule="exact" w:line="540"/>
        <w:ind w:firstLineChars="200" w:startChars="0" w:start="0" w:endChars="0" w:end="0"/>
        <w:rPr>
          <w:bCs/>
          <w:szCs w:val="32"/>
        </w:rPr>
      </w:pPr>
      <w:r>
        <w:rPr>
          <w:bCs/>
          <w:szCs w:val="32"/>
        </w:rPr>
        <w:t>（二）建筑节能围护结构完好，节能、节水、能耗监测等设备及系统运行正常；</w:t>
      </w:r>
    </w:p>
    <w:p>
      <w:pPr>
        <w:pStyle w:val="Normal"/>
        <w:spacing w:lineRule="exact" w:line="540"/>
        <w:ind w:firstLineChars="200" w:startChars="0" w:start="0" w:endChars="0" w:end="0"/>
        <w:rPr>
          <w:bCs/>
          <w:szCs w:val="32"/>
        </w:rPr>
      </w:pPr>
      <w:r>
        <w:rPr>
          <w:bCs/>
          <w:szCs w:val="32"/>
        </w:rPr>
        <w:t>（三）供暖、通风、空调、照明等共用设施设备的自动监控系统运行正常；</w:t>
      </w:r>
    </w:p>
    <w:p>
      <w:pPr>
        <w:pStyle w:val="Normal"/>
        <w:spacing w:lineRule="exact" w:line="540"/>
        <w:ind w:firstLineChars="200" w:startChars="0" w:start="0" w:endChars="0" w:end="0"/>
        <w:rPr>
          <w:bCs/>
          <w:szCs w:val="32"/>
        </w:rPr>
      </w:pPr>
      <w:r>
        <w:rPr>
          <w:bCs/>
          <w:szCs w:val="32"/>
        </w:rPr>
        <w:t>（四）运行过程中产生的废气、污水等污染物达标排放，实行雨污分流，节能、节水指标符合国家、四川省规定，室内温湿度、噪声、采光、空气品质等环境指标达标；</w:t>
      </w:r>
    </w:p>
    <w:p>
      <w:pPr>
        <w:pStyle w:val="Normal"/>
        <w:spacing w:lineRule="exact" w:line="540"/>
        <w:ind w:firstLineChars="200" w:startChars="0" w:start="0" w:endChars="0" w:end="0"/>
        <w:rPr>
          <w:bCs/>
          <w:szCs w:val="32"/>
        </w:rPr>
      </w:pPr>
      <w:r>
        <w:rPr>
          <w:bCs/>
          <w:szCs w:val="32"/>
        </w:rPr>
        <w:t>（五）国家、四川省规定的其他绿色建筑运行要求。</w:t>
      </w:r>
    </w:p>
    <w:p>
      <w:pPr>
        <w:pStyle w:val="Normal"/>
        <w:spacing w:lineRule="exact" w:line="560"/>
        <w:ind w:firstLineChars="200" w:startChars="0" w:start="0" w:endChars="0" w:end="0"/>
        <w:rPr/>
      </w:pPr>
      <w:r>
        <w:rPr>
          <w:rFonts w:eastAsia="黑体;SimHei"/>
          <w:bCs/>
          <w:szCs w:val="32"/>
        </w:rPr>
        <w:t>第二十九条</w:t>
      </w:r>
      <w:r>
        <w:rPr>
          <w:bCs/>
          <w:szCs w:val="32"/>
        </w:rPr>
        <w:t xml:space="preserve">  新建、改建、扩建的国家机关办公建筑和总建筑面积规模二万平方米以上的公共建筑，既有国家机关办公建筑以及大型公共建筑实施节能改造的，应当同步设计、安装具有远程传送功能的能耗监测设备及系统，并在建筑节能工程验收后、工程竣工验收前将建筑能耗监测设备及系统与市建筑智能化系统联网，实现在线监测。</w:t>
      </w:r>
    </w:p>
    <w:p>
      <w:pPr>
        <w:pStyle w:val="Normal"/>
        <w:spacing w:lineRule="exact" w:line="540"/>
        <w:ind w:firstLineChars="200" w:startChars="0" w:start="0" w:endChars="0" w:end="0"/>
        <w:rPr>
          <w:bCs/>
          <w:szCs w:val="32"/>
        </w:rPr>
      </w:pPr>
      <w:r>
        <w:rPr>
          <w:bCs/>
          <w:szCs w:val="32"/>
        </w:rPr>
        <w:t>市和区（市）县人民政府应当建立民用建筑用水、用电、用气、用热等数据共享机制，提升建筑能耗监测能力。</w:t>
      </w:r>
    </w:p>
    <w:p>
      <w:pPr>
        <w:pStyle w:val="Normal"/>
        <w:spacing w:lineRule="exact" w:line="560"/>
        <w:ind w:firstLineChars="200" w:startChars="0" w:start="0" w:endChars="0" w:end="0"/>
        <w:rPr/>
      </w:pPr>
      <w:r>
        <w:rPr>
          <w:rFonts w:eastAsia="黑体;SimHei"/>
          <w:bCs/>
          <w:szCs w:val="32"/>
        </w:rPr>
        <w:t xml:space="preserve">第三十条  </w:t>
      </w:r>
      <w:r>
        <w:rPr>
          <w:bCs/>
          <w:szCs w:val="32"/>
        </w:rPr>
        <w:t>公共建筑不得超过能耗限额。大型公共建筑、国家机关办公建筑、政府投资和以政府投资为主的公共建筑超过能耗限额的，应当采取有效措施降低建筑能耗至限额之内。</w:t>
      </w:r>
    </w:p>
    <w:p>
      <w:pPr>
        <w:pStyle w:val="Normal"/>
        <w:spacing w:lineRule="exact" w:line="540"/>
        <w:ind w:firstLineChars="200" w:startChars="0" w:start="0" w:endChars="0" w:end="0"/>
        <w:rPr>
          <w:bCs/>
          <w:szCs w:val="32"/>
        </w:rPr>
      </w:pPr>
      <w:r>
        <w:rPr>
          <w:bCs/>
          <w:szCs w:val="32"/>
        </w:rPr>
        <w:t>公共建筑能耗限额标准由市住建主管部门会同相关部门制定。</w:t>
      </w:r>
    </w:p>
    <w:p>
      <w:pPr>
        <w:pStyle w:val="Normal"/>
        <w:spacing w:lineRule="exact" w:line="560"/>
        <w:ind w:firstLineChars="200" w:startChars="0" w:start="0" w:endChars="0" w:end="0"/>
        <w:rPr/>
      </w:pPr>
      <w:r>
        <w:rPr>
          <w:rFonts w:eastAsia="黑体;SimHei"/>
          <w:bCs/>
          <w:szCs w:val="32"/>
        </w:rPr>
        <w:t>第三十一条</w:t>
      </w:r>
      <w:r>
        <w:rPr>
          <w:bCs/>
          <w:szCs w:val="32"/>
        </w:rPr>
        <w:t xml:space="preserve">  市和区（市）县人民政府应当结合城市更新，因地制宜推进既有建筑绿色改造，编制改造计划并组织实施。</w:t>
      </w:r>
    </w:p>
    <w:p>
      <w:pPr>
        <w:pStyle w:val="Normal"/>
        <w:spacing w:lineRule="exact" w:line="540"/>
        <w:ind w:firstLineChars="200" w:startChars="0" w:start="0" w:endChars="0" w:end="0"/>
        <w:rPr/>
      </w:pPr>
      <w:r>
        <w:rPr>
          <w:bCs/>
          <w:szCs w:val="32"/>
        </w:rPr>
        <w:t>既有大型公共建筑、国家机关办公建筑、政府投资和以政府投资为主的公共建筑经评估不符合相应绿色建筑标准的，应当纳入绿色改造计划。</w:t>
      </w:r>
    </w:p>
    <w:p>
      <w:pPr>
        <w:pStyle w:val="Normal"/>
        <w:spacing w:lineRule="exact" w:line="560"/>
        <w:ind w:firstLineChars="200" w:startChars="0" w:start="0" w:endChars="0" w:end="0"/>
        <w:rPr/>
      </w:pPr>
      <w:r>
        <w:rPr>
          <w:rFonts w:eastAsia="黑体;SimHei"/>
          <w:bCs/>
          <w:szCs w:val="32"/>
        </w:rPr>
        <w:t>第三十二条</w:t>
      </w:r>
      <w:r>
        <w:rPr>
          <w:bCs/>
          <w:szCs w:val="32"/>
        </w:rPr>
        <w:t xml:space="preserve">  本市鼓励在绿色建筑运行和既有建筑绿色改造中，采用合同能源管理、绿色运行专业托管以及其他创新模式。</w:t>
      </w:r>
    </w:p>
    <w:p>
      <w:pPr>
        <w:pStyle w:val="Normal"/>
        <w:spacing w:lineRule="exact" w:line="540"/>
        <w:ind w:firstLineChars="200" w:startChars="0" w:start="0" w:endChars="0" w:end="0"/>
        <w:rPr>
          <w:bCs/>
          <w:szCs w:val="32"/>
        </w:rPr>
      </w:pPr>
      <w:r>
        <w:rPr>
          <w:bCs/>
          <w:szCs w:val="32"/>
        </w:rPr>
        <w:t>国家机关办公建筑应当逐步采用合同能源管理模式进行改造。</w:t>
      </w:r>
    </w:p>
    <w:p>
      <w:pPr>
        <w:pStyle w:val="Normal"/>
        <w:spacing w:lineRule="exact" w:line="560"/>
        <w:jc w:val="center"/>
        <w:rPr>
          <w:bCs/>
          <w:szCs w:val="32"/>
        </w:rPr>
      </w:pPr>
      <w:r>
        <w:rPr>
          <w:bCs/>
          <w:szCs w:val="32"/>
        </w:rPr>
      </w:r>
    </w:p>
    <w:p>
      <w:pPr>
        <w:pStyle w:val="Normal"/>
        <w:spacing w:lineRule="exact" w:line="560"/>
        <w:jc w:val="center"/>
        <w:rPr>
          <w:rFonts w:eastAsia="黑体;SimHei" w:hint="eastAsia"/>
          <w:bCs/>
          <w:szCs w:val="32"/>
        </w:rPr>
      </w:pPr>
      <w:r>
        <w:rPr>
          <w:rFonts w:eastAsia="黑体;SimHei"/>
          <w:bCs/>
          <w:szCs w:val="32"/>
        </w:rPr>
        <w:t>第五章</w:t>
      </w:r>
      <w:r>
        <w:rPr>
          <w:rFonts w:hint="eastAsia" w:eastAsia="黑体;SimHei"/>
          <w:bCs/>
          <w:szCs w:val="32"/>
        </w:rPr>
        <w:t xml:space="preserve">  </w:t>
      </w:r>
      <w:r>
        <w:rPr>
          <w:rFonts w:eastAsia="黑体;SimHei"/>
          <w:bCs/>
          <w:szCs w:val="32"/>
        </w:rPr>
        <w:t>技术和推广</w:t>
      </w:r>
    </w:p>
    <w:p>
      <w:pPr>
        <w:pStyle w:val="Style12"/>
        <w:rPr>
          <w:rFonts w:eastAsia="黑体;SimHei" w:hint="eastAsia"/>
          <w:bCs/>
          <w:szCs w:val="32"/>
        </w:rPr>
      </w:pPr>
      <w:r>
        <w:rPr>
          <w:rFonts w:eastAsia="黑体;SimHei" w:hint="eastAsia"/>
          <w:bCs/>
          <w:szCs w:val="32"/>
        </w:rPr>
      </w:r>
    </w:p>
    <w:p>
      <w:pPr>
        <w:pStyle w:val="Normal"/>
        <w:spacing w:lineRule="exact" w:line="560"/>
        <w:ind w:firstLineChars="200" w:startChars="0" w:start="0" w:endChars="0" w:end="0"/>
        <w:rPr/>
      </w:pPr>
      <w:r>
        <w:rPr>
          <w:rFonts w:eastAsia="黑体;SimHei"/>
          <w:bCs/>
          <w:szCs w:val="32"/>
        </w:rPr>
        <w:t>第三十三条</w:t>
      </w:r>
      <w:r>
        <w:rPr>
          <w:bCs/>
          <w:szCs w:val="32"/>
        </w:rPr>
        <w:t xml:space="preserve">  本市鼓励节能低碳技术研发和推广，倡导建设高星级绿色建筑，大力推广超低能耗、近零能耗建筑，发展零碳建筑，提升绿色建筑品质。</w:t>
      </w:r>
    </w:p>
    <w:p>
      <w:pPr>
        <w:pStyle w:val="Normal"/>
        <w:spacing w:lineRule="exact" w:line="560"/>
        <w:ind w:firstLineChars="200" w:startChars="0" w:start="0" w:endChars="0" w:end="0"/>
        <w:rPr/>
      </w:pPr>
      <w:r>
        <w:rPr>
          <w:rFonts w:eastAsia="黑体;SimHei"/>
          <w:bCs/>
          <w:szCs w:val="32"/>
        </w:rPr>
        <w:t>第三十四条</w:t>
      </w:r>
      <w:r>
        <w:rPr>
          <w:bCs/>
          <w:szCs w:val="32"/>
        </w:rPr>
        <w:t xml:space="preserve">  本市实行绿色建材产品认证标识制度，鼓励企业开展绿色建材生产和应用技术改造。</w:t>
      </w:r>
    </w:p>
    <w:p>
      <w:pPr>
        <w:pStyle w:val="Normal"/>
        <w:spacing w:lineRule="exact" w:line="540"/>
        <w:ind w:firstLineChars="200" w:startChars="0" w:start="0" w:endChars="0" w:end="0"/>
        <w:rPr>
          <w:bCs/>
          <w:szCs w:val="32"/>
        </w:rPr>
      </w:pPr>
      <w:r>
        <w:rPr>
          <w:bCs/>
          <w:szCs w:val="32"/>
        </w:rPr>
        <w:t>市和区（市）县人民政府及相关部门应当按照绿色、低碳、健康发展要求，大力培育绿色建材生产企业，加快推进绿色建材推广应用。</w:t>
      </w:r>
    </w:p>
    <w:p>
      <w:pPr>
        <w:pStyle w:val="Normal"/>
        <w:spacing w:lineRule="exact" w:line="560"/>
        <w:ind w:firstLineChars="200" w:startChars="0" w:start="0" w:endChars="0" w:end="0"/>
        <w:rPr/>
      </w:pPr>
      <w:r>
        <w:rPr>
          <w:rFonts w:eastAsia="黑体;SimHei"/>
          <w:bCs/>
          <w:szCs w:val="32"/>
        </w:rPr>
        <w:t>第三十五条</w:t>
      </w:r>
      <w:r>
        <w:rPr>
          <w:bCs/>
          <w:szCs w:val="32"/>
        </w:rPr>
        <w:t xml:space="preserve">  本市积极推广太阳能、生物质能、地热能、空气源与地源热泵等可再生能源利用技术，以及围护结构保温隔热、雨水集蓄利用、再生水利用等节能、节水技术应用，推广适宜本地区的楼宇智能化产品、室内环境产品、透水产品、高效节能照明产品等绿色产品。</w:t>
      </w:r>
    </w:p>
    <w:p>
      <w:pPr>
        <w:pStyle w:val="Normal"/>
        <w:spacing w:lineRule="exact" w:line="560"/>
        <w:ind w:firstLineChars="200" w:startChars="0" w:start="0" w:endChars="0" w:end="0"/>
        <w:rPr/>
      </w:pPr>
      <w:r>
        <w:rPr>
          <w:rFonts w:eastAsia="黑体;SimHei"/>
          <w:bCs/>
          <w:szCs w:val="32"/>
        </w:rPr>
        <w:t>第三十六条</w:t>
      </w:r>
      <w:r>
        <w:rPr>
          <w:bCs/>
          <w:szCs w:val="32"/>
        </w:rPr>
        <w:t xml:space="preserve">  绿色建筑停车场或者停车库应当按照国家、四川省有关规定配建电动汽车充电设施。</w:t>
      </w:r>
    </w:p>
    <w:p>
      <w:pPr>
        <w:pStyle w:val="Normal"/>
        <w:spacing w:lineRule="exact" w:line="560"/>
        <w:ind w:firstLineChars="200" w:startChars="0" w:start="0" w:endChars="0" w:end="0"/>
        <w:rPr/>
      </w:pPr>
      <w:r>
        <w:rPr>
          <w:rFonts w:eastAsia="黑体;SimHei"/>
          <w:bCs/>
          <w:szCs w:val="32"/>
        </w:rPr>
        <w:t>第三十七条</w:t>
      </w:r>
      <w:r>
        <w:rPr>
          <w:bCs/>
          <w:szCs w:val="32"/>
        </w:rPr>
        <w:t xml:space="preserve">  市和区（市）县人民政府及相关部门应当推动智能建造与建筑工业化协同发展，通过加快建筑信息模型应用、实施装配式建造方式、推广智能化施工、探索智慧化管理创新，促进建筑产业全要素、全产业链、全价值链的互联互通。</w:t>
      </w:r>
    </w:p>
    <w:p>
      <w:pPr>
        <w:pStyle w:val="Normal"/>
        <w:spacing w:lineRule="exact" w:line="560"/>
        <w:ind w:firstLineChars="200" w:startChars="0" w:start="0" w:endChars="0" w:end="0"/>
        <w:rPr/>
      </w:pPr>
      <w:r>
        <w:rPr>
          <w:rFonts w:eastAsia="黑体;SimHei"/>
          <w:bCs/>
          <w:szCs w:val="32"/>
        </w:rPr>
        <w:t>第三十八条</w:t>
      </w:r>
      <w:r>
        <w:rPr>
          <w:bCs/>
          <w:szCs w:val="32"/>
        </w:rPr>
        <w:t xml:space="preserve">  建筑的拆除应当降低扬尘、噪声等污染，减少对周边环境的影响。</w:t>
      </w:r>
    </w:p>
    <w:p>
      <w:pPr>
        <w:pStyle w:val="Normal"/>
        <w:spacing w:lineRule="exact" w:line="540"/>
        <w:ind w:firstLineChars="200" w:startChars="0" w:start="0" w:endChars="0" w:end="0"/>
        <w:rPr>
          <w:bCs/>
          <w:szCs w:val="32"/>
        </w:rPr>
      </w:pPr>
      <w:r>
        <w:rPr>
          <w:bCs/>
          <w:szCs w:val="32"/>
        </w:rPr>
        <w:t>房屋拆除工程实行房屋拆除、建筑垃圾综合利用及清运一体化管理。</w:t>
      </w:r>
    </w:p>
    <w:p>
      <w:pPr>
        <w:pStyle w:val="Normal"/>
        <w:spacing w:lineRule="exact" w:line="540"/>
        <w:ind w:firstLineChars="200" w:startChars="0" w:start="0" w:endChars="0" w:end="0"/>
        <w:rPr>
          <w:bCs/>
          <w:szCs w:val="32"/>
        </w:rPr>
      </w:pPr>
      <w:r>
        <w:rPr>
          <w:bCs/>
          <w:szCs w:val="32"/>
        </w:rPr>
        <w:t>鼓励现场具备综合利用条件的房屋拆除工程开展现场综合利用。</w:t>
      </w:r>
    </w:p>
    <w:p>
      <w:pPr>
        <w:pStyle w:val="Normal"/>
        <w:spacing w:lineRule="exact" w:line="560"/>
        <w:jc w:val="center"/>
        <w:rPr>
          <w:rFonts w:eastAsia="黑体;SimHei"/>
          <w:bCs/>
          <w:szCs w:val="32"/>
        </w:rPr>
      </w:pPr>
      <w:r>
        <w:rPr>
          <w:rFonts w:eastAsia="黑体;SimHei"/>
          <w:bCs/>
          <w:szCs w:val="32"/>
        </w:rPr>
      </w:r>
    </w:p>
    <w:p>
      <w:pPr>
        <w:pStyle w:val="Normal"/>
        <w:spacing w:lineRule="exact" w:line="560"/>
        <w:jc w:val="center"/>
        <w:rPr>
          <w:rFonts w:eastAsia="黑体;SimHei" w:hint="eastAsia"/>
          <w:bCs/>
          <w:szCs w:val="32"/>
        </w:rPr>
      </w:pPr>
      <w:r>
        <w:rPr>
          <w:rFonts w:eastAsia="黑体;SimHei"/>
          <w:bCs/>
          <w:szCs w:val="32"/>
        </w:rPr>
        <w:t>第六章</w:t>
      </w:r>
      <w:r>
        <w:rPr>
          <w:rFonts w:hint="eastAsia" w:eastAsia="黑体;SimHei"/>
          <w:bCs/>
          <w:szCs w:val="32"/>
        </w:rPr>
        <w:t xml:space="preserve">  </w:t>
      </w:r>
      <w:r>
        <w:rPr>
          <w:rFonts w:eastAsia="黑体;SimHei"/>
          <w:bCs/>
          <w:szCs w:val="32"/>
        </w:rPr>
        <w:t>促进和发展</w:t>
      </w:r>
    </w:p>
    <w:p>
      <w:pPr>
        <w:pStyle w:val="Style12"/>
        <w:rPr>
          <w:rFonts w:eastAsia="黑体;SimHei" w:hint="eastAsia"/>
          <w:bCs/>
          <w:szCs w:val="32"/>
        </w:rPr>
      </w:pPr>
      <w:r>
        <w:rPr>
          <w:rFonts w:eastAsia="黑体;SimHei" w:hint="eastAsia"/>
          <w:bCs/>
          <w:szCs w:val="32"/>
        </w:rPr>
      </w:r>
    </w:p>
    <w:p>
      <w:pPr>
        <w:pStyle w:val="Normal"/>
        <w:spacing w:lineRule="exact" w:line="560"/>
        <w:ind w:firstLineChars="200" w:startChars="0" w:start="0" w:endChars="0" w:end="0"/>
        <w:rPr/>
      </w:pPr>
      <w:r>
        <w:rPr>
          <w:rFonts w:eastAsia="黑体;SimHei"/>
          <w:bCs/>
          <w:szCs w:val="32"/>
        </w:rPr>
        <w:t>第三十九条</w:t>
      </w:r>
      <w:r>
        <w:rPr>
          <w:bCs/>
          <w:szCs w:val="32"/>
        </w:rPr>
        <w:t xml:space="preserve">  市和区（市）县人民政府应当制定支持绿色建筑产业发展的政策措施，扶持绿色建筑示范项目和产业基地，加快培育具有国际竞争力的绿色建筑企业。</w:t>
      </w:r>
    </w:p>
    <w:p>
      <w:pPr>
        <w:pStyle w:val="Normal"/>
        <w:spacing w:lineRule="exact" w:line="560"/>
        <w:ind w:firstLineChars="200" w:startChars="0" w:start="0" w:endChars="0" w:end="0"/>
        <w:rPr/>
      </w:pPr>
      <w:r>
        <w:rPr>
          <w:rFonts w:eastAsia="黑体;SimHei"/>
          <w:bCs/>
          <w:szCs w:val="32"/>
        </w:rPr>
        <w:t>第四十条</w:t>
      </w:r>
      <w:r>
        <w:rPr>
          <w:bCs/>
          <w:szCs w:val="32"/>
        </w:rPr>
        <w:t xml:space="preserve">  市和区（市）县科技主管部门应当加大对绿色建筑关键技术、创新产品研发的支持力度，促进绿色建筑科技成果转化。</w:t>
      </w:r>
    </w:p>
    <w:p>
      <w:pPr>
        <w:pStyle w:val="Normal"/>
        <w:spacing w:lineRule="exact" w:line="540"/>
        <w:ind w:firstLineChars="200" w:startChars="0" w:start="0" w:endChars="0" w:end="0"/>
        <w:rPr>
          <w:bCs/>
          <w:szCs w:val="32"/>
        </w:rPr>
      </w:pPr>
      <w:r>
        <w:rPr>
          <w:bCs/>
          <w:szCs w:val="32"/>
        </w:rPr>
        <w:t>鼓励高等院校开设绿色建筑相关课程，培养绿色建筑技术人才。</w:t>
      </w:r>
    </w:p>
    <w:p>
      <w:pPr>
        <w:pStyle w:val="Normal"/>
        <w:spacing w:lineRule="exact" w:line="560"/>
        <w:ind w:firstLineChars="200" w:startChars="0" w:start="0" w:endChars="0" w:end="0"/>
        <w:rPr/>
      </w:pPr>
      <w:r>
        <w:rPr>
          <w:rFonts w:eastAsia="黑体;SimHei"/>
          <w:bCs/>
          <w:szCs w:val="32"/>
        </w:rPr>
        <w:t>第四十一条</w:t>
      </w:r>
      <w:r>
        <w:rPr>
          <w:bCs/>
          <w:szCs w:val="32"/>
        </w:rPr>
        <w:t xml:space="preserve">  市和区（市）县人民政府应当加大对绿色建筑的财政资金支持，重点用于下列领域：</w:t>
      </w:r>
    </w:p>
    <w:p>
      <w:pPr>
        <w:pStyle w:val="Normal"/>
        <w:spacing w:lineRule="exact" w:line="540"/>
        <w:ind w:firstLineChars="200" w:startChars="0" w:start="0" w:endChars="0" w:end="0"/>
        <w:rPr>
          <w:bCs/>
          <w:szCs w:val="32"/>
        </w:rPr>
      </w:pPr>
      <w:r>
        <w:rPr>
          <w:bCs/>
          <w:szCs w:val="32"/>
        </w:rPr>
        <w:t>（一）绿色建筑发展规划的编制以及建筑能耗统计、监测和运行评估；</w:t>
      </w:r>
    </w:p>
    <w:p>
      <w:pPr>
        <w:pStyle w:val="Normal"/>
        <w:spacing w:lineRule="exact" w:line="540"/>
        <w:ind w:firstLineChars="200" w:startChars="0" w:start="0" w:endChars="0" w:end="0"/>
        <w:rPr>
          <w:bCs/>
          <w:szCs w:val="32"/>
        </w:rPr>
      </w:pPr>
      <w:r>
        <w:rPr>
          <w:bCs/>
          <w:szCs w:val="32"/>
        </w:rPr>
        <w:t>（二）绿色建筑技术、产品的研发和推广；</w:t>
      </w:r>
    </w:p>
    <w:p>
      <w:pPr>
        <w:pStyle w:val="Normal"/>
        <w:spacing w:lineRule="exact" w:line="540"/>
        <w:ind w:firstLineChars="200" w:startChars="0" w:start="0" w:endChars="0" w:end="0"/>
        <w:rPr>
          <w:bCs/>
          <w:szCs w:val="32"/>
        </w:rPr>
      </w:pPr>
      <w:r>
        <w:rPr>
          <w:bCs/>
          <w:szCs w:val="32"/>
        </w:rPr>
        <w:t>（三）超低能耗建筑、近零能耗建筑、高星级绿色建筑、高装配率装配式建筑、可再生能源技术等项目示范；</w:t>
      </w:r>
    </w:p>
    <w:p>
      <w:pPr>
        <w:pStyle w:val="Normal"/>
        <w:spacing w:lineRule="exact" w:line="540"/>
        <w:ind w:firstLineChars="200" w:startChars="0" w:start="0" w:endChars="0" w:end="0"/>
        <w:rPr>
          <w:bCs/>
          <w:szCs w:val="32"/>
        </w:rPr>
      </w:pPr>
      <w:r>
        <w:rPr>
          <w:bCs/>
          <w:szCs w:val="32"/>
        </w:rPr>
        <w:t>（四）既有建筑绿色改造、合同能源管理应用。</w:t>
      </w:r>
    </w:p>
    <w:p>
      <w:pPr>
        <w:pStyle w:val="Normal"/>
        <w:spacing w:lineRule="exact" w:line="560"/>
        <w:ind w:firstLineChars="200" w:startChars="0" w:start="0" w:endChars="0" w:end="0"/>
        <w:rPr/>
      </w:pPr>
      <w:r>
        <w:rPr>
          <w:rFonts w:eastAsia="黑体;SimHei"/>
          <w:bCs/>
          <w:szCs w:val="32"/>
        </w:rPr>
        <w:t>第四十二条</w:t>
      </w:r>
      <w:r>
        <w:rPr>
          <w:bCs/>
          <w:szCs w:val="32"/>
        </w:rPr>
        <w:t xml:space="preserve">  鼓励企业、高等院校、科研机构研究开发绿色建筑新技术、新工艺、新材料和新设备，相关研发费用可以按照国家规定享受税收优惠政策。</w:t>
      </w:r>
    </w:p>
    <w:p>
      <w:pPr>
        <w:pStyle w:val="Normal"/>
        <w:spacing w:lineRule="exact" w:line="540"/>
        <w:ind w:firstLineChars="200" w:startChars="0" w:start="0" w:endChars="0" w:end="0"/>
        <w:rPr>
          <w:bCs/>
          <w:szCs w:val="32"/>
        </w:rPr>
      </w:pPr>
      <w:r>
        <w:rPr>
          <w:bCs/>
          <w:szCs w:val="32"/>
        </w:rPr>
        <w:t>对实施绿色建筑项目的企业和经认定的新型墙体材料、废弃物利用比例符合要求的资源综合利用建材，按规定享受税收优惠政策。</w:t>
      </w:r>
    </w:p>
    <w:p>
      <w:pPr>
        <w:pStyle w:val="Normal"/>
        <w:spacing w:lineRule="exact" w:line="560"/>
        <w:ind w:firstLineChars="200" w:startChars="0" w:start="0" w:endChars="0" w:end="0"/>
        <w:rPr/>
      </w:pPr>
      <w:r>
        <w:rPr>
          <w:rFonts w:eastAsia="黑体;SimHei"/>
          <w:bCs/>
          <w:szCs w:val="32"/>
        </w:rPr>
        <w:t>第四十三条</w:t>
      </w:r>
      <w:r>
        <w:rPr>
          <w:bCs/>
          <w:szCs w:val="32"/>
        </w:rPr>
        <w:t xml:space="preserve">  符合国家、四川省相关标准和城乡规划要求的绿色建筑、装配式建筑，因采用墙体保温技术增加的建筑面积不计入容积率核算。首层架空部分作为公共绿化、通道、公共体育设施、儿童游乐设施等不封闭的共有部分的建筑面积不计入容积率核算。具体规定由市人民政府另行制定。</w:t>
      </w:r>
    </w:p>
    <w:p>
      <w:pPr>
        <w:pStyle w:val="Normal"/>
        <w:spacing w:lineRule="exact" w:line="560"/>
        <w:ind w:firstLineChars="200" w:startChars="0" w:start="0" w:endChars="0" w:end="0"/>
        <w:rPr/>
      </w:pPr>
      <w:r>
        <w:rPr>
          <w:rFonts w:eastAsia="黑体;SimHei"/>
          <w:bCs/>
          <w:szCs w:val="32"/>
        </w:rPr>
        <w:t>第四十四条</w:t>
      </w:r>
      <w:r>
        <w:rPr>
          <w:bCs/>
          <w:szCs w:val="32"/>
        </w:rPr>
        <w:t xml:space="preserve">  建立健全绿色建筑信用信息归集、评价、应用机制，按照有关规定，对获得表彰、奖励或者被评为示范项目的绿色建筑项目，可以给予建设、勘察、设计、施工、监理单位信用激励加分。</w:t>
      </w:r>
    </w:p>
    <w:p>
      <w:pPr>
        <w:pStyle w:val="Normal"/>
        <w:spacing w:lineRule="exact" w:line="540"/>
        <w:ind w:firstLineChars="200" w:startChars="0" w:start="0" w:endChars="0" w:end="0"/>
        <w:rPr>
          <w:bCs/>
          <w:szCs w:val="32"/>
        </w:rPr>
      </w:pPr>
      <w:r>
        <w:rPr>
          <w:bCs/>
          <w:szCs w:val="32"/>
        </w:rPr>
        <w:t>取得高星级绿色建筑标识的项目，在各类建筑工程奖项的评审中应当优先推荐。</w:t>
      </w:r>
    </w:p>
    <w:p>
      <w:pPr>
        <w:pStyle w:val="Normal"/>
        <w:spacing w:lineRule="exact" w:line="560"/>
        <w:ind w:firstLineChars="200" w:startChars="0" w:start="0" w:endChars="0" w:end="0"/>
        <w:rPr>
          <w:bCs/>
          <w:szCs w:val="32"/>
        </w:rPr>
      </w:pPr>
      <w:r>
        <w:rPr>
          <w:bCs/>
          <w:szCs w:val="32"/>
        </w:rPr>
        <w:t>第四十五条  鼓励金融机构将绿色建筑项目纳入绿色金融重点支持范围，引导支持金融机构和企业发行绿色债券支持符合条件的绿色建筑项目。</w:t>
      </w:r>
    </w:p>
    <w:p>
      <w:pPr>
        <w:pStyle w:val="Normal"/>
        <w:spacing w:lineRule="exact" w:line="560"/>
        <w:ind w:firstLineChars="200" w:startChars="0" w:start="0" w:endChars="0" w:end="0"/>
        <w:rPr/>
      </w:pPr>
      <w:r>
        <w:rPr>
          <w:rFonts w:eastAsia="黑体;SimHei"/>
          <w:bCs/>
          <w:szCs w:val="32"/>
        </w:rPr>
        <w:t>第四十六条</w:t>
      </w:r>
      <w:r>
        <w:rPr>
          <w:bCs/>
          <w:szCs w:val="32"/>
        </w:rPr>
        <w:t xml:space="preserve">  鼓励和引导社会资本积极参与绿色建筑发展工作。</w:t>
      </w:r>
    </w:p>
    <w:p>
      <w:pPr>
        <w:pStyle w:val="Normal"/>
        <w:spacing w:lineRule="exact" w:line="540"/>
        <w:ind w:firstLineChars="200" w:startChars="0" w:start="0" w:endChars="0" w:end="0"/>
        <w:rPr>
          <w:bCs/>
          <w:szCs w:val="32"/>
        </w:rPr>
      </w:pPr>
      <w:r>
        <w:rPr>
          <w:bCs/>
          <w:szCs w:val="32"/>
        </w:rPr>
        <w:t>鼓励和支持自然人、法人和非法人组织等积极参与绿色建筑相关的各项工作。</w:t>
      </w:r>
    </w:p>
    <w:p>
      <w:pPr>
        <w:pStyle w:val="Normal"/>
        <w:spacing w:lineRule="exact" w:line="560"/>
        <w:jc w:val="center"/>
        <w:rPr>
          <w:rFonts w:eastAsia="黑体;SimHei"/>
          <w:bCs/>
          <w:szCs w:val="32"/>
        </w:rPr>
      </w:pPr>
      <w:r>
        <w:rPr>
          <w:rFonts w:eastAsia="黑体;SimHei"/>
          <w:bCs/>
          <w:szCs w:val="32"/>
        </w:rPr>
      </w:r>
    </w:p>
    <w:p>
      <w:pPr>
        <w:pStyle w:val="Normal"/>
        <w:spacing w:lineRule="exact" w:line="560"/>
        <w:jc w:val="center"/>
        <w:rPr>
          <w:rFonts w:eastAsia="黑体;SimHei" w:hint="eastAsia"/>
          <w:bCs/>
          <w:szCs w:val="32"/>
        </w:rPr>
      </w:pPr>
      <w:r>
        <w:rPr>
          <w:rFonts w:eastAsia="黑体;SimHei"/>
          <w:bCs/>
          <w:szCs w:val="32"/>
        </w:rPr>
        <w:t>第七章</w:t>
      </w:r>
      <w:r>
        <w:rPr>
          <w:rFonts w:hint="eastAsia" w:eastAsia="黑体;SimHei"/>
          <w:bCs/>
          <w:szCs w:val="32"/>
        </w:rPr>
        <w:t xml:space="preserve">  </w:t>
      </w:r>
      <w:r>
        <w:rPr>
          <w:rFonts w:eastAsia="黑体;SimHei"/>
          <w:bCs/>
          <w:szCs w:val="32"/>
        </w:rPr>
        <w:t>法律责任</w:t>
      </w:r>
    </w:p>
    <w:p>
      <w:pPr>
        <w:pStyle w:val="Style12"/>
        <w:rPr>
          <w:rFonts w:eastAsia="黑体;SimHei" w:hint="eastAsia"/>
          <w:bCs/>
          <w:szCs w:val="32"/>
        </w:rPr>
      </w:pPr>
      <w:r>
        <w:rPr>
          <w:rFonts w:eastAsia="黑体;SimHei" w:hint="eastAsia"/>
          <w:bCs/>
          <w:szCs w:val="32"/>
        </w:rPr>
      </w:r>
    </w:p>
    <w:p>
      <w:pPr>
        <w:pStyle w:val="Normal"/>
        <w:spacing w:lineRule="exact" w:line="560"/>
        <w:ind w:firstLineChars="200" w:startChars="0" w:start="0" w:endChars="0" w:end="0"/>
        <w:rPr/>
      </w:pPr>
      <w:r>
        <w:rPr>
          <w:rFonts w:eastAsia="黑体;SimHei"/>
          <w:bCs/>
          <w:szCs w:val="32"/>
        </w:rPr>
        <w:t xml:space="preserve">第四十七条 </w:t>
      </w:r>
      <w:r>
        <w:rPr>
          <w:bCs/>
          <w:szCs w:val="32"/>
        </w:rPr>
        <w:t xml:space="preserve"> 违反本条例第十六条或者第二十二条规定，建设单位有下列情形之一的，由住建主管部门责令限期改正；逾期不改正的，按照下列规定处罚：</w:t>
      </w:r>
    </w:p>
    <w:p>
      <w:pPr>
        <w:pStyle w:val="Normal"/>
        <w:spacing w:lineRule="exact" w:line="540"/>
        <w:ind w:firstLineChars="200" w:startChars="0" w:start="0" w:endChars="0" w:end="0"/>
        <w:rPr>
          <w:bCs/>
          <w:szCs w:val="32"/>
        </w:rPr>
      </w:pPr>
      <w:r>
        <w:rPr>
          <w:bCs/>
          <w:szCs w:val="32"/>
        </w:rPr>
        <w:t>（一）未在咨询、设计、施工、监理等委托文件中载明绿色建筑执行要求的，处三万元以上五万元以下罚款；</w:t>
      </w:r>
    </w:p>
    <w:p>
      <w:pPr>
        <w:pStyle w:val="Normal"/>
        <w:spacing w:lineRule="exact" w:line="540"/>
        <w:ind w:firstLineChars="200" w:startChars="0" w:start="0" w:endChars="0" w:end="0"/>
        <w:rPr>
          <w:bCs/>
          <w:szCs w:val="32"/>
        </w:rPr>
      </w:pPr>
      <w:r>
        <w:rPr>
          <w:bCs/>
          <w:szCs w:val="32"/>
        </w:rPr>
        <w:t>（二）明示或者暗示受托单位降低绿色建筑执行要求、使用不符合施工图设计文件要求的建筑材料、建筑构配件和设施设备的，处二十万元以上五十万元以下罚款；</w:t>
      </w:r>
    </w:p>
    <w:p>
      <w:pPr>
        <w:pStyle w:val="Normal"/>
        <w:spacing w:lineRule="exact" w:line="540"/>
        <w:ind w:firstLineChars="200" w:startChars="0" w:start="0" w:endChars="0" w:end="0"/>
        <w:rPr>
          <w:bCs/>
          <w:szCs w:val="32"/>
        </w:rPr>
      </w:pPr>
      <w:r>
        <w:rPr>
          <w:bCs/>
          <w:szCs w:val="32"/>
        </w:rPr>
        <w:t>（三）对不符合绿色建筑执行要求的项目通过竣工验收的，处工程合同价款百分之二以上百分之四以下罚款。</w:t>
      </w:r>
    </w:p>
    <w:p>
      <w:pPr>
        <w:pStyle w:val="Normal"/>
        <w:spacing w:lineRule="exact" w:line="560"/>
        <w:ind w:firstLineChars="200" w:startChars="0" w:start="0" w:endChars="0" w:end="0"/>
        <w:rPr/>
      </w:pPr>
      <w:r>
        <w:rPr>
          <w:rFonts w:eastAsia="黑体;SimHei"/>
          <w:bCs/>
          <w:szCs w:val="32"/>
        </w:rPr>
        <w:t xml:space="preserve">第四十八条 </w:t>
      </w:r>
      <w:r>
        <w:rPr>
          <w:bCs/>
          <w:szCs w:val="32"/>
        </w:rPr>
        <w:t xml:space="preserve"> 违反本条例第十七条规定，设计单位未按照绿色建筑执行要求进行施工图设计的，由住建主管部门责令限期改正；逾期不改正的，处十万元以上三十万元以下罚款。</w:t>
      </w:r>
    </w:p>
    <w:p>
      <w:pPr>
        <w:pStyle w:val="Normal"/>
        <w:spacing w:lineRule="exact" w:line="560"/>
        <w:ind w:firstLineChars="200" w:startChars="0" w:start="0" w:endChars="0" w:end="0"/>
        <w:rPr/>
      </w:pPr>
      <w:r>
        <w:rPr>
          <w:rFonts w:eastAsia="黑体;SimHei"/>
          <w:bCs/>
          <w:szCs w:val="32"/>
        </w:rPr>
        <w:t>第四十九条</w:t>
      </w:r>
      <w:r>
        <w:rPr>
          <w:bCs/>
          <w:szCs w:val="32"/>
        </w:rPr>
        <w:t xml:space="preserve">  违反本条例第十八条第一款规定，施工图审查机构对不符合绿色建筑执行要求的施工图设计文件出具审查合格书的，处三万元罚款。</w:t>
      </w:r>
    </w:p>
    <w:p>
      <w:pPr>
        <w:pStyle w:val="Normal"/>
        <w:spacing w:lineRule="exact" w:line="560"/>
        <w:ind w:firstLineChars="200" w:startChars="0" w:start="0" w:endChars="0" w:end="0"/>
        <w:rPr/>
      </w:pPr>
      <w:r>
        <w:rPr>
          <w:rFonts w:eastAsia="黑体;SimHei"/>
          <w:bCs/>
          <w:szCs w:val="32"/>
        </w:rPr>
        <w:t>第五十条</w:t>
      </w:r>
      <w:r>
        <w:rPr>
          <w:bCs/>
          <w:szCs w:val="32"/>
        </w:rPr>
        <w:t xml:space="preserve">  违反本条例第十九条第二款规定，施工单位未按照绿色建筑有关要求组织施工的，由住建主管部门责令限期改正；逾期不改正的，处工程合同价款百分之二以上百分之四以下罚款。</w:t>
      </w:r>
    </w:p>
    <w:p>
      <w:pPr>
        <w:pStyle w:val="Normal"/>
        <w:spacing w:lineRule="exact" w:line="560"/>
        <w:ind w:firstLineChars="200" w:startChars="0" w:start="0" w:endChars="0" w:end="0"/>
        <w:rPr/>
      </w:pPr>
      <w:r>
        <w:rPr>
          <w:rFonts w:eastAsia="黑体;SimHei"/>
          <w:bCs/>
          <w:szCs w:val="32"/>
        </w:rPr>
        <w:t>第五十一条</w:t>
      </w:r>
      <w:r>
        <w:rPr>
          <w:bCs/>
          <w:szCs w:val="32"/>
        </w:rPr>
        <w:t xml:space="preserve">  违反本条例第二十条规定，监理单位未按照绿色建筑执行要求、根据合格的施工图设计文件及施工方案编制监理方案或者未按方案实施监理的，由住建主管部门责令限期改正；逾期不改正的，处十万元以上三十万元以下罚款。</w:t>
      </w:r>
    </w:p>
    <w:p>
      <w:pPr>
        <w:pStyle w:val="Normal"/>
        <w:spacing w:lineRule="exact" w:line="560"/>
        <w:ind w:firstLineChars="200" w:startChars="0" w:start="0" w:endChars="0" w:end="0"/>
        <w:rPr/>
      </w:pPr>
      <w:r>
        <w:rPr>
          <w:rFonts w:eastAsia="黑体;SimHei"/>
          <w:bCs/>
          <w:szCs w:val="32"/>
        </w:rPr>
        <w:t>第五十二条</w:t>
      </w:r>
      <w:r>
        <w:rPr>
          <w:bCs/>
          <w:szCs w:val="32"/>
        </w:rPr>
        <w:t xml:space="preserve">  违反本条例第二十一条规定，工程质量检测机构对绿色建筑的相关工程出具虚假检测报告的，由住建主管部门责令改正，处五万元以上十万元以下罚款。</w:t>
      </w:r>
    </w:p>
    <w:p>
      <w:pPr>
        <w:pStyle w:val="Normal"/>
        <w:spacing w:lineRule="exact" w:line="560"/>
        <w:ind w:firstLineChars="200" w:startChars="0" w:start="0" w:endChars="0" w:end="0"/>
        <w:rPr/>
      </w:pPr>
      <w:r>
        <w:rPr>
          <w:rFonts w:eastAsia="黑体;SimHei"/>
          <w:bCs/>
          <w:szCs w:val="32"/>
        </w:rPr>
        <w:t>第五十三条</w:t>
      </w:r>
      <w:r>
        <w:rPr>
          <w:bCs/>
          <w:szCs w:val="32"/>
        </w:rPr>
        <w:t xml:space="preserve">  违反本条例第二十三条规定，建设单位未在商品房销售现场公示绿色建筑执行要求及主要绿色性能指标、节能措施和保护要求、保温工程保修期等信息，或者未在商品房买卖合同、住宅质量保证书和住宅使用说明书中载明上述信息的，由住建主管部门责令限期改正；逾期不改正的，处三万元以上五万元以下罚款。</w:t>
      </w:r>
    </w:p>
    <w:p>
      <w:pPr>
        <w:pStyle w:val="Normal"/>
        <w:spacing w:lineRule="exact" w:line="540"/>
        <w:ind w:firstLineChars="200" w:startChars="0" w:start="0" w:endChars="0" w:end="0"/>
        <w:rPr>
          <w:bCs/>
          <w:szCs w:val="32"/>
        </w:rPr>
      </w:pPr>
      <w:r>
        <w:rPr>
          <w:bCs/>
          <w:szCs w:val="32"/>
        </w:rPr>
        <w:t>对前款所述信息作虚假宣传的，由住建主管部门责令限期改正；逾期不改正的，处五万元以上二十万元以下罚款。</w:t>
      </w:r>
    </w:p>
    <w:p>
      <w:pPr>
        <w:pStyle w:val="Normal"/>
        <w:spacing w:lineRule="exact" w:line="560"/>
        <w:ind w:firstLineChars="200" w:startChars="0" w:start="0" w:endChars="0" w:end="0"/>
        <w:rPr/>
      </w:pPr>
      <w:r>
        <w:rPr>
          <w:rFonts w:eastAsia="黑体;SimHei"/>
          <w:bCs/>
          <w:szCs w:val="32"/>
        </w:rPr>
        <w:t>第五十四条</w:t>
      </w:r>
      <w:r>
        <w:rPr>
          <w:bCs/>
          <w:szCs w:val="32"/>
        </w:rPr>
        <w:t xml:space="preserve">  违反本条例第二十七条第四款规定，破坏建筑原有围护结构、能耗监测设备及系统、可再生能源利用系统等设施的，由住建主管部门责令限期改正；逾期不改正的，处五万元以上十万元以下罚款。</w:t>
      </w:r>
    </w:p>
    <w:p>
      <w:pPr>
        <w:pStyle w:val="Normal"/>
        <w:spacing w:lineRule="exact" w:line="560"/>
        <w:ind w:firstLineChars="200" w:startChars="0" w:start="0" w:endChars="0" w:end="0"/>
        <w:rPr/>
      </w:pPr>
      <w:r>
        <w:rPr>
          <w:rFonts w:eastAsia="黑体;SimHei"/>
          <w:bCs/>
          <w:szCs w:val="32"/>
        </w:rPr>
        <w:t>第五十五条</w:t>
      </w:r>
      <w:r>
        <w:rPr>
          <w:bCs/>
          <w:szCs w:val="32"/>
        </w:rPr>
        <w:t xml:space="preserve">  违反本条例第二十九条第一款规定，建设单位未按要求同步设计、安装能耗监测设备及系统，或者未接入市建筑智能化系统进行在线监测的，由住建主管部门责令限期改正；逾期不改正的，处一万元以上五万元以下罚款；情节严重的，处五万元以上十万元以下罚款。</w:t>
      </w:r>
    </w:p>
    <w:p>
      <w:pPr>
        <w:pStyle w:val="Normal"/>
        <w:spacing w:lineRule="exact" w:line="560"/>
        <w:ind w:firstLineChars="200" w:startChars="0" w:start="0" w:endChars="0" w:end="0"/>
        <w:rPr/>
      </w:pPr>
      <w:r>
        <w:rPr>
          <w:rFonts w:eastAsia="黑体;SimHei"/>
          <w:bCs/>
          <w:szCs w:val="32"/>
        </w:rPr>
        <w:t>第五十六条</w:t>
      </w:r>
      <w:r>
        <w:rPr>
          <w:bCs/>
          <w:szCs w:val="32"/>
        </w:rPr>
        <w:t xml:space="preserve">  有关行政机关、监督机构及其工作人员违反本条例，在绿色建筑监督管理工作中未依法履行职责的，依法责令改正，通报批评，对直接负责的主管人员和其他直接责任人员依法给予处理。</w:t>
      </w:r>
    </w:p>
    <w:p>
      <w:pPr>
        <w:pStyle w:val="Normal"/>
        <w:spacing w:lineRule="exact" w:line="560"/>
        <w:ind w:firstLineChars="200" w:startChars="0" w:start="0" w:endChars="0" w:end="0"/>
        <w:rPr/>
      </w:pPr>
      <w:r>
        <w:rPr>
          <w:rFonts w:eastAsia="黑体;SimHei"/>
          <w:bCs/>
          <w:szCs w:val="32"/>
        </w:rPr>
        <w:t>第五十七条</w:t>
      </w:r>
      <w:r>
        <w:rPr>
          <w:bCs/>
          <w:szCs w:val="32"/>
        </w:rPr>
        <w:t xml:space="preserve">  本条例中的行政处罚事项，纳入城市管理综合行政执法的，由城市管理综合行政执法部门负责实施。</w:t>
      </w:r>
    </w:p>
    <w:p>
      <w:pPr>
        <w:pStyle w:val="Normal"/>
        <w:spacing w:lineRule="exact" w:line="560"/>
        <w:ind w:firstLineChars="200" w:startChars="0" w:start="0" w:endChars="0" w:end="0"/>
        <w:rPr/>
      </w:pPr>
      <w:r>
        <w:rPr>
          <w:rFonts w:eastAsia="黑体;SimHei"/>
          <w:bCs/>
          <w:szCs w:val="32"/>
        </w:rPr>
        <w:t>第五十八条</w:t>
      </w:r>
      <w:r>
        <w:rPr>
          <w:bCs/>
          <w:szCs w:val="32"/>
        </w:rPr>
        <w:t xml:space="preserve">  按照本条例规定受到处罚的单位或者个人，相关行业主管部门应当将其处罚情况作为不良行为予以记录，并依法依规采取失信惩戒措施。</w:t>
      </w:r>
    </w:p>
    <w:p>
      <w:pPr>
        <w:pStyle w:val="Normal"/>
        <w:spacing w:lineRule="exact" w:line="560"/>
        <w:ind w:firstLineChars="200" w:startChars="0" w:start="0" w:endChars="0" w:end="0"/>
        <w:rPr/>
      </w:pPr>
      <w:r>
        <w:rPr>
          <w:rFonts w:eastAsia="黑体;SimHei"/>
          <w:bCs/>
          <w:szCs w:val="32"/>
        </w:rPr>
        <w:t>第五十九条</w:t>
      </w:r>
      <w:r>
        <w:rPr>
          <w:bCs/>
          <w:szCs w:val="32"/>
        </w:rPr>
        <w:t xml:space="preserve">  违反本条例规定的其他行为，法律、法规已有处罚规定的，从其规定。</w:t>
      </w:r>
    </w:p>
    <w:p>
      <w:pPr>
        <w:pStyle w:val="Normal"/>
        <w:spacing w:lineRule="exact" w:line="560"/>
        <w:jc w:val="center"/>
        <w:rPr>
          <w:bCs/>
          <w:szCs w:val="32"/>
        </w:rPr>
      </w:pPr>
      <w:r>
        <w:rPr>
          <w:bCs/>
          <w:szCs w:val="32"/>
        </w:rPr>
      </w:r>
    </w:p>
    <w:p>
      <w:pPr>
        <w:pStyle w:val="Normal"/>
        <w:spacing w:lineRule="exact" w:line="560"/>
        <w:jc w:val="center"/>
        <w:rPr/>
      </w:pPr>
      <w:r>
        <w:rPr>
          <w:rFonts w:eastAsia="黑体;SimHei"/>
          <w:bCs/>
          <w:szCs w:val="32"/>
        </w:rPr>
        <w:t>第八章</w:t>
      </w:r>
      <w:r>
        <w:rPr>
          <w:rFonts w:hint="eastAsia" w:eastAsia="黑体;SimHei"/>
          <w:bCs/>
          <w:szCs w:val="32"/>
        </w:rPr>
        <w:t xml:space="preserve">  </w:t>
      </w:r>
      <w:r>
        <w:rPr>
          <w:rFonts w:eastAsia="黑体;SimHei"/>
          <w:bCs/>
          <w:szCs w:val="32"/>
        </w:rPr>
        <w:t>附则</w:t>
      </w:r>
    </w:p>
    <w:p>
      <w:pPr>
        <w:pStyle w:val="Normal"/>
        <w:spacing w:lineRule="exact" w:line="560"/>
        <w:ind w:firstLineChars="200" w:startChars="0" w:start="0" w:endChars="0" w:end="0"/>
        <w:rPr>
          <w:rFonts w:eastAsia="黑体;SimHei" w:hint="eastAsia"/>
          <w:bCs/>
          <w:szCs w:val="32"/>
        </w:rPr>
      </w:pPr>
      <w:r>
        <w:rPr>
          <w:rFonts w:eastAsia="黑体;SimHei" w:hint="eastAsia"/>
          <w:bCs/>
          <w:szCs w:val="32"/>
        </w:rPr>
      </w:r>
    </w:p>
    <w:p>
      <w:pPr>
        <w:pStyle w:val="Normal"/>
        <w:spacing w:lineRule="exact" w:line="560"/>
        <w:ind w:firstLineChars="200" w:startChars="0" w:start="0" w:endChars="0" w:end="0"/>
        <w:rPr/>
      </w:pPr>
      <w:r>
        <w:rPr>
          <w:rFonts w:eastAsia="黑体;SimHei"/>
          <w:bCs/>
          <w:szCs w:val="32"/>
        </w:rPr>
        <w:t>第六十条</w:t>
      </w:r>
      <w:r>
        <w:rPr>
          <w:bCs/>
          <w:szCs w:val="32"/>
        </w:rPr>
        <w:t xml:space="preserve">  本市鼓励农村农户自建房采用绿色建筑相关技术与措施。</w:t>
      </w:r>
    </w:p>
    <w:p>
      <w:pPr>
        <w:pStyle w:val="Normal"/>
        <w:spacing w:lineRule="exact" w:line="560"/>
        <w:ind w:firstLineChars="200" w:startChars="0" w:start="0" w:endChars="0" w:end="0"/>
        <w:rPr/>
      </w:pPr>
      <w:r>
        <w:rPr>
          <w:rFonts w:eastAsia="黑体;SimHei"/>
          <w:bCs/>
          <w:szCs w:val="32"/>
        </w:rPr>
        <w:t>第六十一条</w:t>
      </w:r>
      <w:r>
        <w:rPr>
          <w:bCs/>
          <w:szCs w:val="32"/>
        </w:rPr>
        <w:t xml:space="preserve">  本条例中下列用语含义：</w:t>
      </w:r>
    </w:p>
    <w:p>
      <w:pPr>
        <w:pStyle w:val="Normal"/>
        <w:spacing w:lineRule="exact" w:line="540"/>
        <w:ind w:firstLineChars="200" w:startChars="0" w:start="0" w:endChars="0" w:end="0"/>
        <w:rPr>
          <w:bCs/>
          <w:szCs w:val="32"/>
        </w:rPr>
      </w:pPr>
      <w:r>
        <w:rPr>
          <w:bCs/>
          <w:szCs w:val="32"/>
        </w:rPr>
        <w:t>（一）大型公共建筑，是指单体建筑面积二万平方米以上的公共建筑。</w:t>
      </w:r>
    </w:p>
    <w:p>
      <w:pPr>
        <w:pStyle w:val="Normal"/>
        <w:spacing w:lineRule="exact" w:line="540"/>
        <w:ind w:firstLineChars="200" w:startChars="0" w:start="0" w:endChars="0" w:end="0"/>
        <w:rPr>
          <w:bCs/>
          <w:szCs w:val="32"/>
        </w:rPr>
      </w:pPr>
      <w:r>
        <w:rPr>
          <w:bCs/>
          <w:szCs w:val="32"/>
        </w:rPr>
        <w:t>（二）高星级绿色建筑，是指二星级及以上绿色建筑。</w:t>
      </w:r>
    </w:p>
    <w:p>
      <w:pPr>
        <w:pStyle w:val="Normal"/>
        <w:spacing w:lineRule="exact" w:line="540"/>
        <w:ind w:firstLineChars="200" w:startChars="0" w:start="0" w:endChars="0" w:end="0"/>
        <w:rPr>
          <w:bCs/>
          <w:szCs w:val="32"/>
        </w:rPr>
      </w:pPr>
      <w:r>
        <w:rPr>
          <w:bCs/>
          <w:szCs w:val="32"/>
        </w:rPr>
        <w:t>（三）装配式建筑，是指由预制部品部件在工地装配而成的建筑。</w:t>
      </w:r>
    </w:p>
    <w:p>
      <w:pPr>
        <w:pStyle w:val="Normal"/>
        <w:spacing w:lineRule="exact" w:line="540"/>
        <w:ind w:firstLineChars="200" w:startChars="0" w:start="0" w:endChars="0" w:end="0"/>
        <w:rPr>
          <w:bCs/>
          <w:szCs w:val="32"/>
        </w:rPr>
      </w:pPr>
      <w:r>
        <w:rPr>
          <w:bCs/>
          <w:szCs w:val="32"/>
        </w:rPr>
        <w:t>（四）装配率，是指单体建筑室外地坪以上的主体结构、围护墙和内隔墙、装修和设备管线等采用预制部品部件的综合比例。</w:t>
      </w:r>
    </w:p>
    <w:p>
      <w:pPr>
        <w:pStyle w:val="Normal"/>
        <w:spacing w:lineRule="exact" w:line="540"/>
        <w:ind w:firstLineChars="200" w:startChars="0" w:start="0" w:endChars="0" w:end="0"/>
        <w:rPr>
          <w:bCs/>
          <w:szCs w:val="32"/>
        </w:rPr>
      </w:pPr>
      <w:r>
        <w:rPr>
          <w:bCs/>
          <w:szCs w:val="32"/>
        </w:rPr>
        <w:t>（五）高装配率，是指按照国家标准计算，装配率百分之六十以上。</w:t>
      </w:r>
    </w:p>
    <w:p>
      <w:pPr>
        <w:pStyle w:val="Normal"/>
        <w:spacing w:lineRule="exact" w:line="560"/>
        <w:ind w:firstLineChars="200" w:startChars="0" w:start="0" w:endChars="0" w:end="0"/>
        <w:rPr/>
      </w:pPr>
      <w:r>
        <w:rPr>
          <w:rFonts w:eastAsia="黑体;SimHei"/>
          <w:bCs/>
          <w:szCs w:val="32"/>
        </w:rPr>
        <w:t>第六十二条</w:t>
      </w:r>
      <w:r>
        <w:rPr>
          <w:bCs/>
          <w:szCs w:val="32"/>
        </w:rPr>
        <w:t xml:space="preserve">  本条例自</w:t>
      </w:r>
      <w:r>
        <w:rPr>
          <w:bCs/>
          <w:szCs w:val="32"/>
        </w:rPr>
        <w:t xml:space="preserve">2023 </w:t>
      </w:r>
      <w:r>
        <w:rPr>
          <w:bCs/>
          <w:szCs w:val="32"/>
        </w:rPr>
        <w:t>年</w:t>
      </w:r>
      <w:r>
        <w:rPr>
          <w:bCs/>
          <w:szCs w:val="32"/>
        </w:rPr>
        <w:t xml:space="preserve">3 </w:t>
      </w:r>
      <w:r>
        <w:rPr>
          <w:bCs/>
          <w:szCs w:val="32"/>
        </w:rPr>
        <w:t>月</w:t>
      </w:r>
      <w:r>
        <w:rPr>
          <w:bCs/>
          <w:szCs w:val="32"/>
        </w:rPr>
        <w:t>1</w:t>
      </w:r>
      <w:r>
        <w:rPr>
          <w:bCs/>
          <w:szCs w:val="32"/>
        </w:rPr>
        <w:t>日起施行。</w:t>
      </w:r>
    </w:p>
    <w:p>
      <w:pPr>
        <w:pStyle w:val="Normal"/>
        <w:widowControl/>
        <w:jc w:val="start"/>
        <w:rPr>
          <w:bCs/>
          <w:szCs w:val="32"/>
        </w:rPr>
      </w:pPr>
      <w:r>
        <w:rPr>
          <w:bCs/>
          <w:szCs w:val="32"/>
        </w:rPr>
      </w:r>
    </w:p>
    <w:p>
      <w:pPr>
        <w:pStyle w:val="Style12"/>
        <w:rPr>
          <w:bCs/>
          <w:szCs w:val="32"/>
        </w:rPr>
      </w:pPr>
      <w:r>
        <w:rPr>
          <w:bCs/>
          <w:szCs w:val="32"/>
        </w:rPr>
      </w:r>
    </w:p>
    <w:p>
      <w:pPr>
        <w:pStyle w:val="Normal"/>
        <w:rPr>
          <w:bCs/>
          <w:szCs w:val="32"/>
        </w:rPr>
      </w:pPr>
      <w:r>
        <w:rPr>
          <w:bCs/>
          <w:szCs w:val="32"/>
        </w:rPr>
      </w:r>
    </w:p>
    <w:p>
      <w:pPr>
        <w:pStyle w:val="Style12"/>
        <w:rPr>
          <w:bCs/>
          <w:szCs w:val="32"/>
        </w:rPr>
      </w:pPr>
      <w:r>
        <w:rPr>
          <w:bCs/>
          <w:szCs w:val="32"/>
        </w:rPr>
      </w:r>
    </w:p>
    <w:p>
      <w:pPr>
        <w:pStyle w:val="Normal"/>
        <w:rPr>
          <w:bCs/>
          <w:szCs w:val="32"/>
        </w:rPr>
      </w:pPr>
      <w:r>
        <w:rPr>
          <w:bCs/>
          <w:szCs w:val="32"/>
        </w:rPr>
      </w:r>
    </w:p>
    <w:p>
      <w:pPr>
        <w:pStyle w:val="Style12"/>
        <w:rPr>
          <w:bCs/>
          <w:szCs w:val="32"/>
        </w:rPr>
      </w:pPr>
      <w:r>
        <w:rPr>
          <w:bCs/>
          <w:szCs w:val="32"/>
        </w:rPr>
      </w:r>
    </w:p>
    <w:p>
      <w:pPr>
        <w:pStyle w:val="Normal"/>
        <w:rPr>
          <w:bCs/>
          <w:szCs w:val="32"/>
        </w:rPr>
      </w:pPr>
      <w:r>
        <w:rPr>
          <w:bCs/>
          <w:szCs w:val="32"/>
        </w:rPr>
      </w:r>
    </w:p>
    <w:p>
      <w:pPr>
        <w:pStyle w:val="Style12"/>
        <w:rPr>
          <w:bCs/>
          <w:szCs w:val="32"/>
        </w:rPr>
      </w:pPr>
      <w:r>
        <w:rPr>
          <w:bCs/>
          <w:szCs w:val="32"/>
        </w:rPr>
      </w:r>
    </w:p>
    <w:p>
      <w:pPr>
        <w:pStyle w:val="Normal"/>
        <w:rPr>
          <w:bCs/>
          <w:szCs w:val="32"/>
        </w:rPr>
      </w:pPr>
      <w:r>
        <w:rPr>
          <w:bCs/>
          <w:szCs w:val="32"/>
        </w:rPr>
      </w:r>
    </w:p>
    <w:p>
      <w:pPr>
        <w:pStyle w:val="Normal"/>
        <w:rPr>
          <w:bCs/>
          <w:szCs w:val="32"/>
        </w:rPr>
      </w:pPr>
      <w:r>
        <w:rPr>
          <w:bCs/>
          <w:szCs w:val="32"/>
        </w:rPr>
      </w:r>
    </w:p>
    <w:p>
      <w:pPr>
        <w:pStyle w:val="Style12"/>
        <w:rPr>
          <w:bCs/>
          <w:szCs w:val="32"/>
        </w:rPr>
      </w:pPr>
      <w:r>
        <w:rPr>
          <w:bCs/>
          <w:szCs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AndChars" w:linePitch="579" w:charSpace="429496709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Sim Hei">
    <w:altName w:val="Arial"/>
    <w:charset w:val="00" w:characterSet="windows-1252"/>
    <w:family w:val="swiss"/>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pPr>
    <w:r>
      <w:rPr>
        <w:rFonts w:cs="宋体;SimSun" w:hint="eastAsia" w:ascii="仿宋_GB2312" w:hAnsi="仿宋_GB2312"/>
        <w:sz w:val="28"/>
        <w:szCs w:val="28"/>
      </w:rPr>
      <w:t xml:space="preserve">— </w:t>
    </w:r>
    <w:r>
      <w:rPr>
        <w:rFonts w:cs="宋体;SimSun" w:hint="eastAsia" w:ascii="仿宋_GB2312" w:hAnsi="仿宋_GB2312"/>
        <w:sz w:val="28"/>
        <w:szCs w:val="28"/>
      </w:rPr>
      <w:fldChar w:fldCharType="begin"/>
    </w:r>
    <w:r>
      <w:rPr>
        <w:rFonts w:cs="宋体;SimSun" w:hint="eastAsia" w:ascii="仿宋_GB2312" w:hAnsi="仿宋_GB2312"/>
        <w:sz w:val="28"/>
        <w:szCs w:val="28"/>
      </w:rPr>
      <w:instrText xml:space="preserve"> PAGE </w:instrText>
    </w:r>
    <w:r>
      <w:rPr>
        <w:rFonts w:cs="宋体;SimSun" w:hint="eastAsia" w:ascii="仿宋_GB2312" w:hAnsi="仿宋_GB2312"/>
        <w:sz w:val="28"/>
        <w:szCs w:val="28"/>
      </w:rPr>
      <w:fldChar w:fldCharType="separate"/>
    </w:r>
    <w:r>
      <w:rPr>
        <w:rFonts w:cs="宋体;SimSun" w:hint="eastAsia" w:ascii="仿宋_GB2312" w:hAnsi="仿宋_GB2312"/>
        <w:sz w:val="28"/>
        <w:szCs w:val="28"/>
      </w:rPr>
      <w:t>14</w:t>
    </w:r>
    <w:r>
      <w:rPr>
        <w:rFonts w:cs="宋体;SimSun" w:hint="eastAsia" w:ascii="仿宋_GB2312" w:hAnsi="仿宋_GB2312"/>
        <w:sz w:val="28"/>
        <w:szCs w:val="28"/>
      </w:rPr>
      <w:fldChar w:fldCharType="end"/>
    </w:r>
    <w:r>
      <w:rPr>
        <w:rFonts w:cs="宋体;SimSun" w:hint="eastAsia" w:ascii="仿宋_GB2312" w:hAnsi="仿宋_GB2312"/>
        <w:sz w:val="28"/>
        <w:szCs w:val="28"/>
      </w:rPr>
      <w:t xml:space="preserve"> —</w:t>
    </w:r>
  </w:p>
  <w:p>
    <w:pPr>
      <w:pStyle w:val="Footer"/>
      <w:ind w:firstLine="420" w:end="0"/>
      <w:rPr>
        <w:rFonts w:ascii="仿宋_GB2312" w:hAnsi="仿宋_GB2312" w:cs="宋体;SimSun" w:hint="eastAsia"/>
        <w:sz w:val="28"/>
        <w:szCs w:val="28"/>
      </w:rPr>
    </w:pPr>
    <w:r>
      <w:rPr>
        <w:rFonts w:cs="宋体;SimSun" w:hint="eastAsia" w:ascii="仿宋_GB2312" w:hAnsi="仿宋_GB2312"/>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jc w:val="end"/>
      <w:rPr/>
    </w:pPr>
    <w:r>
      <w:rPr>
        <w:rFonts w:cs="宋体;SimSun" w:hint="eastAsia" w:ascii="仿宋_GB2312" w:hAnsi="仿宋_GB2312"/>
        <w:sz w:val="28"/>
        <w:szCs w:val="28"/>
      </w:rPr>
      <w:t xml:space="preserve">— </w:t>
    </w:r>
    <w:r>
      <w:rPr>
        <w:rFonts w:cs="宋体;SimSun" w:hint="eastAsia" w:ascii="仿宋_GB2312" w:hAnsi="仿宋_GB2312"/>
        <w:sz w:val="28"/>
        <w:szCs w:val="28"/>
      </w:rPr>
      <w:fldChar w:fldCharType="begin"/>
    </w:r>
    <w:r>
      <w:rPr>
        <w:rFonts w:cs="宋体;SimSun" w:hint="eastAsia" w:ascii="仿宋_GB2312" w:hAnsi="仿宋_GB2312"/>
        <w:sz w:val="28"/>
        <w:szCs w:val="28"/>
      </w:rPr>
      <w:instrText xml:space="preserve"> PAGE </w:instrText>
    </w:r>
    <w:r>
      <w:rPr>
        <w:rFonts w:cs="宋体;SimSun" w:hint="eastAsia" w:ascii="仿宋_GB2312" w:hAnsi="仿宋_GB2312"/>
        <w:sz w:val="28"/>
        <w:szCs w:val="28"/>
      </w:rPr>
      <w:fldChar w:fldCharType="separate"/>
    </w:r>
    <w:r>
      <w:rPr>
        <w:rFonts w:cs="宋体;SimSun" w:hint="eastAsia" w:ascii="仿宋_GB2312" w:hAnsi="仿宋_GB2312"/>
        <w:sz w:val="28"/>
        <w:szCs w:val="28"/>
      </w:rPr>
      <w:t>15</w:t>
    </w:r>
    <w:r>
      <w:rPr>
        <w:rFonts w:cs="宋体;SimSun" w:hint="eastAsia" w:ascii="仿宋_GB2312" w:hAnsi="仿宋_GB2312"/>
        <w:sz w:val="28"/>
        <w:szCs w:val="28"/>
      </w:rPr>
      <w:fldChar w:fldCharType="end"/>
    </w:r>
    <w:r>
      <w:rPr>
        <w:rFonts w:cs="宋体;SimSun" w:hint="eastAsia" w:ascii="仿宋_GB2312" w:hAnsi="仿宋_GB2312"/>
        <w:sz w:val="28"/>
        <w:szCs w:val="28"/>
      </w:rPr>
      <w:t xml:space="preserve"> —</w:t>
    </w:r>
  </w:p>
  <w:p>
    <w:pPr>
      <w:pStyle w:val="Footer"/>
      <w:ind w:end="420"/>
      <w:jc w:val="end"/>
      <w:rPr>
        <w:rFonts w:ascii="宋体;SimSun" w:hAnsi="宋体;SimSun" w:eastAsia="宋体;SimSun" w:cs="宋体;SimSun" w:hint="eastAsia"/>
        <w:sz w:val="28"/>
        <w:szCs w:val="28"/>
      </w:rPr>
    </w:pPr>
    <w:r>
      <w:rPr>
        <w:rFonts w:eastAsia="宋体;SimSun" w:cs="宋体;SimSun" w:hint="eastAsia" w:ascii="宋体;SimSun" w:hAnsi="宋体;SimSu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2"/>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numPr>
        <w:ilvl w:val="0"/>
        <w:numId w:val="1"/>
      </w:numPr>
      <w:suppressAutoHyphens w:val="true"/>
      <w:spacing w:before="100" w:after="100"/>
      <w:jc w:val="start"/>
      <w:outlineLvl w:val="0"/>
    </w:pPr>
    <w:rPr>
      <w:rFonts w:ascii="宋体;SimSun" w:hAnsi="宋体;SimSun" w:eastAsia="宋体;SimSun" w:cs="宋体;SimSun" w:hint="eastAsia"/>
      <w:b/>
      <w:kern w:val="2"/>
      <w:sz w:val="48"/>
      <w:szCs w:val="48"/>
    </w:rPr>
  </w:style>
  <w:style w:type="paragraph" w:styleId="Heading2">
    <w:name w:val="heading 2"/>
    <w:basedOn w:val="Normal"/>
    <w:next w:val="Normal"/>
    <w:qFormat/>
    <w:pPr>
      <w:numPr>
        <w:ilvl w:val="1"/>
        <w:numId w:val="1"/>
      </w:numPr>
      <w:suppressAutoHyphens w:val="true"/>
      <w:spacing w:lineRule="exact" w:line="640"/>
      <w:ind w:firstLineChars="200" w:startChars="0" w:start="0" w:endChars="0" w:end="0"/>
      <w:jc w:val="start"/>
      <w:outlineLvl w:val="1"/>
    </w:pPr>
    <w:rPr>
      <w:rFonts w:ascii="宋体;SimSun" w:hAnsi="宋体;SimSun" w:eastAsia="方正黑体_GBK" w:cs="宋体;SimSun"/>
      <w:color w:val="333333"/>
      <w:kern w:val="0"/>
      <w:szCs w:val="31"/>
    </w:rPr>
  </w:style>
  <w:style w:type="paragraph" w:styleId="Heading3">
    <w:name w:val="heading 3"/>
    <w:basedOn w:val="Normal"/>
    <w:next w:val="Normal"/>
    <w:qFormat/>
    <w:pPr>
      <w:numPr>
        <w:ilvl w:val="2"/>
        <w:numId w:val="1"/>
      </w:numPr>
      <w:suppressAutoHyphens w:val="true"/>
      <w:spacing w:before="100" w:after="100"/>
      <w:jc w:val="start"/>
      <w:outlineLvl w:val="2"/>
    </w:pPr>
    <w:rPr>
      <w:rFonts w:ascii="宋体;SimSun" w:hAnsi="宋体;SimSun" w:eastAsia="宋体;SimSun" w:cs="宋体;SimSun"/>
      <w:b/>
      <w:kern w:val="0"/>
      <w:sz w:val="27"/>
      <w:szCs w:val="27"/>
    </w:rPr>
  </w:style>
  <w:style w:type="character" w:styleId="Style11">
    <w:name w:val="默认段落字体"/>
    <w:qFormat/>
    <w:rPr/>
  </w:style>
  <w:style w:type="character" w:styleId="Char">
    <w:name w:val="称呼 Char"/>
    <w:qFormat/>
    <w:rPr>
      <w:rFonts w:eastAsia="仿宋_GB2312"/>
      <w:kern w:val="2"/>
      <w:sz w:val="32"/>
      <w:szCs w:val="24"/>
    </w:rPr>
  </w:style>
  <w:style w:type="character" w:styleId="1Char">
    <w:name w:val="标题 1 Char"/>
    <w:qFormat/>
    <w:rPr>
      <w:rFonts w:ascii="宋体;SimSun" w:hAnsi="宋体;SimSun" w:cs="宋体;SimSun"/>
      <w:b/>
      <w:kern w:val="2"/>
      <w:sz w:val="48"/>
      <w:szCs w:val="48"/>
    </w:rPr>
  </w:style>
  <w:style w:type="character" w:styleId="2Char">
    <w:name w:val="标题 2 Char"/>
    <w:qFormat/>
    <w:rPr>
      <w:rFonts w:ascii="宋体;SimSun" w:hAnsi="宋体;SimSun" w:eastAsia="方正黑体_GBK" w:cs="宋体;SimSun"/>
      <w:color w:val="333333"/>
      <w:sz w:val="32"/>
      <w:szCs w:val="31"/>
    </w:rPr>
  </w:style>
  <w:style w:type="character" w:styleId="3Char">
    <w:name w:val="标题 3 Char"/>
    <w:qFormat/>
    <w:rPr>
      <w:rFonts w:ascii="宋体;SimSun" w:hAnsi="宋体;SimSun" w:cs="宋体;SimSun"/>
      <w:b/>
      <w:sz w:val="27"/>
      <w:szCs w:val="27"/>
    </w:rPr>
  </w:style>
  <w:style w:type="character" w:styleId="Char1">
    <w:name w:val="批注文字 Char"/>
    <w:qFormat/>
    <w:rPr>
      <w:rFonts w:ascii="Calibri" w:hAnsi="Calibri" w:cs="Calibri"/>
      <w:kern w:val="2"/>
      <w:sz w:val="21"/>
      <w:szCs w:val="24"/>
    </w:rPr>
  </w:style>
  <w:style w:type="character" w:styleId="Char2">
    <w:name w:val="正文文本 Char"/>
    <w:qFormat/>
    <w:rPr>
      <w:rFonts w:eastAsia="仿宋_GB2312"/>
      <w:kern w:val="2"/>
      <w:sz w:val="32"/>
      <w:szCs w:val="24"/>
    </w:rPr>
  </w:style>
  <w:style w:type="character" w:styleId="Char3">
    <w:name w:val="标题 Char"/>
    <w:qFormat/>
    <w:rPr>
      <w:rFonts w:ascii="Arial" w:hAnsi="Arial" w:eastAsia="华文中宋" w:cs="Arial"/>
      <w:b/>
      <w:bCs/>
      <w:color w:val="FF0000"/>
      <w:sz w:val="84"/>
      <w:szCs w:val="32"/>
    </w:rPr>
  </w:style>
  <w:style w:type="character" w:styleId="Char11">
    <w:name w:val="正文文本缩进 Char1"/>
    <w:qFormat/>
    <w:rPr>
      <w:rFonts w:eastAsia="仿宋_GB2312"/>
      <w:kern w:val="2"/>
      <w:sz w:val="32"/>
    </w:rPr>
  </w:style>
  <w:style w:type="character" w:styleId="Char4">
    <w:name w:val="纯文本 Char"/>
    <w:qFormat/>
    <w:rPr>
      <w:rFonts w:ascii="宋体;SimSun" w:hAnsi="宋体;SimSun" w:cs="Courier New"/>
      <w:kern w:val="2"/>
      <w:sz w:val="21"/>
      <w:szCs w:val="21"/>
    </w:rPr>
  </w:style>
  <w:style w:type="character" w:styleId="Char5">
    <w:name w:val="批注框文本 Char"/>
    <w:qFormat/>
    <w:rPr>
      <w:rFonts w:eastAsia="仿宋_GB2312"/>
      <w:kern w:val="2"/>
      <w:sz w:val="18"/>
      <w:szCs w:val="18"/>
    </w:rPr>
  </w:style>
  <w:style w:type="character" w:styleId="Char6">
    <w:name w:val="页脚 Char"/>
    <w:qFormat/>
    <w:rPr>
      <w:rFonts w:eastAsia="仿宋_GB2312"/>
      <w:kern w:val="2"/>
      <w:sz w:val="18"/>
      <w:szCs w:val="18"/>
    </w:rPr>
  </w:style>
  <w:style w:type="character" w:styleId="Char7">
    <w:name w:val="页眉 Char"/>
    <w:qFormat/>
    <w:rPr>
      <w:kern w:val="2"/>
      <w:sz w:val="18"/>
      <w:szCs w:val="18"/>
    </w:rPr>
  </w:style>
  <w:style w:type="character" w:styleId="Char8">
    <w:name w:val="脚注文本 Char"/>
    <w:qFormat/>
    <w:rPr>
      <w:rFonts w:ascii="Calibri" w:hAnsi="Calibri" w:cs="Calibri"/>
      <w:kern w:val="2"/>
      <w:sz w:val="18"/>
      <w:szCs w:val="24"/>
    </w:rPr>
  </w:style>
  <w:style w:type="character" w:styleId="Char9">
    <w:name w:val="批注主题 Char"/>
    <w:qFormat/>
    <w:rPr>
      <w:rFonts w:ascii="Calibri" w:hAnsi="Calibri" w:cs="Calibri"/>
      <w:b/>
      <w:bCs/>
      <w:kern w:val="2"/>
      <w:sz w:val="21"/>
      <w:szCs w:val="24"/>
    </w:rPr>
  </w:style>
  <w:style w:type="character" w:styleId="2Char1">
    <w:name w:val="正文首行缩进 2 Char"/>
    <w:qFormat/>
    <w:rPr>
      <w:rFonts w:eastAsia="仿宋_GB2312" w:cs="Calibri"/>
      <w:kern w:val="2"/>
      <w:sz w:val="32"/>
      <w:szCs w:val="21"/>
    </w:rPr>
  </w:style>
  <w:style w:type="character" w:styleId="Strong">
    <w:name w:val="Strong"/>
    <w:qFormat/>
    <w:rPr>
      <w:b/>
    </w:rPr>
  </w:style>
  <w:style w:type="character" w:styleId="PageNumber">
    <w:name w:val="page number"/>
    <w:rPr/>
  </w:style>
  <w:style w:type="character" w:styleId="Char10">
    <w:name w:val="正文文本缩进 Char"/>
    <w:qFormat/>
    <w:rPr>
      <w:rFonts w:eastAsia="仿宋_GB2312"/>
      <w:kern w:val="2"/>
      <w:sz w:val="32"/>
    </w:rPr>
  </w:style>
  <w:style w:type="paragraph" w:styleId="Heading">
    <w:name w:val="Heading"/>
    <w:basedOn w:val="Normal"/>
    <w:next w:val="BodyText"/>
    <w:qFormat/>
    <w:pPr>
      <w:widowControl/>
      <w:spacing w:lineRule="exact" w:line="560" w:before="240" w:after="60"/>
      <w:jc w:val="center"/>
      <w:outlineLvl w:val="0"/>
    </w:pPr>
    <w:rPr>
      <w:rFonts w:ascii="Arial" w:hAnsi="Arial" w:eastAsia="华文中宋" w:cs="Arial"/>
      <w:b/>
      <w:bCs/>
      <w:color w:val="FF0000"/>
      <w:kern w:val="0"/>
      <w:sz w:val="84"/>
      <w:szCs w:val="32"/>
    </w:rPr>
  </w:style>
  <w:style w:type="paragraph" w:styleId="BodyText">
    <w:name w:val="Body Text"/>
    <w:basedOn w:val="Normal"/>
    <w:next w:val="Heading"/>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称呼"/>
    <w:basedOn w:val="Normal"/>
    <w:next w:val="Normal"/>
    <w:qFormat/>
    <w:pPr/>
    <w:rPr/>
  </w:style>
  <w:style w:type="paragraph" w:styleId="Style13">
    <w:name w:val="批注文字"/>
    <w:basedOn w:val="Normal"/>
    <w:qFormat/>
    <w:pPr>
      <w:suppressAutoHyphens w:val="true"/>
      <w:jc w:val="start"/>
    </w:pPr>
    <w:rPr>
      <w:rFonts w:ascii="Calibri" w:hAnsi="Calibri" w:eastAsia="宋体;SimSun" w:cs="Calibri"/>
      <w:sz w:val="21"/>
    </w:rPr>
  </w:style>
  <w:style w:type="paragraph" w:styleId="BodyTextIndent">
    <w:name w:val="Body Text Indent"/>
    <w:basedOn w:val="Normal"/>
    <w:pPr>
      <w:widowControl/>
      <w:ind w:firstLineChars="200" w:startChars="0" w:start="0" w:endChars="0" w:end="0"/>
      <w:textAlignment w:val="baseline"/>
    </w:pPr>
    <w:rPr>
      <w:szCs w:val="20"/>
    </w:rPr>
  </w:style>
  <w:style w:type="paragraph" w:styleId="Style14">
    <w:name w:val="纯文本"/>
    <w:basedOn w:val="Normal"/>
    <w:qFormat/>
    <w:pPr>
      <w:suppressAutoHyphens w:val="true"/>
    </w:pPr>
    <w:rPr>
      <w:rFonts w:ascii="宋体;SimSun" w:hAnsi="宋体;SimSun" w:eastAsia="宋体;SimSun" w:cs="Courier New"/>
      <w:sz w:val="21"/>
      <w:szCs w:val="21"/>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noteText">
    <w:name w:val="footnote text"/>
    <w:basedOn w:val="Normal"/>
    <w:pPr>
      <w:suppressAutoHyphens w:val="true"/>
      <w:snapToGrid w:val="false"/>
      <w:jc w:val="start"/>
    </w:pPr>
    <w:rPr>
      <w:rFonts w:ascii="Calibri" w:hAnsi="Calibri" w:eastAsia="宋体;SimSun" w:cs="Calibri"/>
      <w:sz w:val="18"/>
    </w:rPr>
  </w:style>
  <w:style w:type="paragraph" w:styleId="Style16">
    <w:name w:val="普通(网站)"/>
    <w:basedOn w:val="Normal"/>
    <w:qFormat/>
    <w:pPr>
      <w:spacing w:before="100" w:after="100"/>
      <w:ind w:hanging="0" w:start="0" w:end="0"/>
      <w:jc w:val="start"/>
    </w:pPr>
    <w:rPr>
      <w:kern w:val="0"/>
      <w:sz w:val="24"/>
      <w:lang w:bidi="ar"/>
    </w:rPr>
  </w:style>
  <w:style w:type="paragraph" w:styleId="Style17">
    <w:name w:val="批注主题"/>
    <w:basedOn w:val="Style13"/>
    <w:next w:val="Style13"/>
    <w:qFormat/>
    <w:pPr/>
    <w:rPr>
      <w:b/>
      <w:bCs/>
    </w:rPr>
  </w:style>
  <w:style w:type="paragraph" w:styleId="2">
    <w:name w:val="正文首行缩进 2"/>
    <w:basedOn w:val="BodyTextIndent"/>
    <w:qFormat/>
    <w:pPr>
      <w:ind w:firstLineChars="200" w:startChars="0" w:start="0" w:endChars="0" w:end="0"/>
    </w:pPr>
    <w:rPr>
      <w:rFonts w:cs="Calibri"/>
      <w:szCs w:val="21"/>
    </w:rPr>
  </w:style>
  <w:style w:type="paragraph" w:styleId="Default">
    <w:name w:val="Default"/>
    <w:qFormat/>
    <w:pPr>
      <w:widowControl w:val="false"/>
      <w:autoSpaceDE w:val="false"/>
      <w:bidi w:val="0"/>
    </w:pPr>
    <w:rPr>
      <w:rFonts w:ascii="Sim Hei;Arial" w:hAnsi="Sim Hei;Arial" w:eastAsia="Times New Roman" w:cs="Sim Hei;Arial"/>
      <w:color w:val="000000"/>
      <w:sz w:val="24"/>
      <w:szCs w:val="24"/>
      <w:lang w:bidi="ar-SA" w:val="en-US" w:eastAsia="zh-CN"/>
    </w:rPr>
  </w:style>
  <w:style w:type="paragraph" w:styleId="1">
    <w:name w:val="正文缩进1"/>
    <w:qFormat/>
    <w:pPr>
      <w:widowControl w:val="false"/>
      <w:bidi w:val="0"/>
      <w:ind w:firstLineChars="200" w:startChars="0" w:start="0" w:endChars="0" w:end="0"/>
      <w:jc w:val="both"/>
    </w:pPr>
    <w:rPr>
      <w:rFonts w:ascii="Calibri" w:hAnsi="Calibri" w:eastAsia="宋体;SimSun" w:cs="Calibri"/>
      <w:color w:val="auto"/>
      <w:kern w:val="2"/>
      <w:sz w:val="21"/>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Template>
  <TotalTime>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2022-10-28T02:23:00Z</dcterms:created>
  <dc:creator>买吃的吃</dc:creator>
  <dc:description/>
  <cp:keywords/>
  <dc:language>en-US</dc:language>
  <cp:lastModifiedBy>hp</cp:lastModifiedBy>
  <cp:lastPrinted>2022-12-03T10:08:00Z</cp:lastPrinted>
  <dcterms:modified xsi:type="dcterms:W3CDTF">2023-01-09T14:26:00Z</dcterms:modified>
  <cp:revision>5</cp:revision>
  <dc:subject/>
  <dc:title>关于大邑县文化建设情况的视察报告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