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numPr>
          <w:ilvl w:val="0"/>
          <w:numId w:val="0"/>
        </w:numPr>
        <w:snapToGrid w:val="false"/>
        <w:spacing w:lineRule="exact" w:line="576"/>
        <w:jc w:val="center"/>
        <w:outlineLvl w:val="0"/>
        <w:rPr>
          <w:rFonts w:eastAsia="方正小标宋简体"/>
          <w:b/>
          <w:spacing w:val="-17"/>
          <w:sz w:val="44"/>
        </w:rPr>
      </w:pPr>
      <w:r>
        <w:rPr>
          <w:rFonts w:eastAsia="方正小标宋简体"/>
          <w:b/>
          <w:spacing w:val="-17"/>
          <w:sz w:val="44"/>
        </w:rPr>
      </w:r>
    </w:p>
    <w:p>
      <w:pPr>
        <w:pStyle w:val="Normal"/>
        <w:widowControl/>
        <w:numPr>
          <w:ilvl w:val="0"/>
          <w:numId w:val="0"/>
        </w:numPr>
        <w:snapToGrid w:val="false"/>
        <w:spacing w:lineRule="exact" w:line="576"/>
        <w:jc w:val="center"/>
        <w:outlineLvl w:val="0"/>
        <w:rPr>
          <w:rFonts w:eastAsia="方正小标宋简体"/>
          <w:b/>
          <w:spacing w:val="-17"/>
          <w:sz w:val="44"/>
        </w:rPr>
      </w:pPr>
      <w:r>
        <w:rPr>
          <w:rFonts w:eastAsia="方正小标宋简体"/>
          <w:b/>
          <w:spacing w:val="-17"/>
          <w:sz w:val="44"/>
        </w:rPr>
      </w:r>
    </w:p>
    <w:p>
      <w:pPr>
        <w:pStyle w:val="Normal"/>
        <w:widowControl/>
        <w:numPr>
          <w:ilvl w:val="0"/>
          <w:numId w:val="0"/>
        </w:numPr>
        <w:snapToGrid w:val="false"/>
        <w:spacing w:lineRule="exact" w:line="576"/>
        <w:jc w:val="center"/>
        <w:outlineLvl w:val="0"/>
        <w:rPr>
          <w:rFonts w:eastAsia="宋体;SimSun"/>
          <w:bCs/>
          <w:spacing w:val="-17"/>
          <w:sz w:val="44"/>
        </w:rPr>
      </w:pPr>
      <w:r>
        <w:rPr>
          <w:rFonts w:eastAsia="宋体;SimSun"/>
          <w:bCs/>
          <w:spacing w:val="-17"/>
          <w:sz w:val="44"/>
        </w:rPr>
        <w:t>自贡市井盐历史文化保护条例</w:t>
      </w:r>
    </w:p>
    <w:p>
      <w:pPr>
        <w:pStyle w:val="Normal"/>
        <w:widowControl/>
        <w:numPr>
          <w:ilvl w:val="0"/>
          <w:numId w:val="0"/>
        </w:numPr>
        <w:snapToGrid w:val="false"/>
        <w:spacing w:lineRule="exact" w:line="576"/>
        <w:outlineLvl w:val="0"/>
        <w:rPr>
          <w:rFonts w:eastAsia="楷体" w:hint="eastAsia"/>
          <w:bCs/>
          <w:spacing w:val="-17"/>
          <w:sz w:val="44"/>
          <w:szCs w:val="32"/>
        </w:rPr>
      </w:pPr>
      <w:r>
        <w:rPr>
          <w:rFonts w:eastAsia="楷体" w:hint="eastAsia"/>
          <w:bCs/>
          <w:spacing w:val="-17"/>
          <w:sz w:val="44"/>
          <w:szCs w:val="32"/>
        </w:rPr>
      </w:r>
    </w:p>
    <w:p>
      <w:pPr>
        <w:pStyle w:val="Normal"/>
        <w:widowControl/>
        <w:numPr>
          <w:ilvl w:val="0"/>
          <w:numId w:val="0"/>
        </w:numPr>
        <w:snapToGrid w:val="false"/>
        <w:spacing w:lineRule="exact" w:line="576"/>
        <w:ind w:firstLineChars="0" w:firstLine="0" w:startChars="300" w:endChars="300"/>
        <w:outlineLvl w:val="0"/>
        <w:rPr>
          <w:b/>
          <w:sz w:val="32"/>
          <w:szCs w:val="32"/>
        </w:rPr>
      </w:pPr>
      <w:r>
        <w:rPr>
          <w:rFonts w:eastAsia="楷体_GB2312;楷体"/>
          <w:bCs/>
          <w:sz w:val="32"/>
          <w:szCs w:val="32"/>
        </w:rPr>
        <w:t>（</w:t>
      </w:r>
      <w:r>
        <w:rPr>
          <w:rFonts w:eastAsia="楷体_GB2312;楷体"/>
          <w:bCs/>
          <w:sz w:val="32"/>
          <w:szCs w:val="32"/>
        </w:rPr>
        <w:t>2018</w:t>
      </w:r>
      <w:r>
        <w:rPr>
          <w:rFonts w:eastAsia="楷体_GB2312;楷体"/>
          <w:bCs/>
          <w:sz w:val="32"/>
          <w:szCs w:val="32"/>
        </w:rPr>
        <w:t>年</w:t>
      </w:r>
      <w:r>
        <w:rPr>
          <w:rFonts w:eastAsia="楷体_GB2312;楷体"/>
          <w:bCs/>
          <w:sz w:val="32"/>
          <w:szCs w:val="32"/>
        </w:rPr>
        <w:t>10</w:t>
      </w:r>
      <w:r>
        <w:rPr>
          <w:rFonts w:eastAsia="楷体_GB2312;楷体"/>
          <w:bCs/>
          <w:sz w:val="32"/>
          <w:szCs w:val="32"/>
        </w:rPr>
        <w:t>月</w:t>
      </w:r>
      <w:r>
        <w:rPr>
          <w:rFonts w:eastAsia="楷体_GB2312;楷体"/>
          <w:bCs/>
          <w:sz w:val="32"/>
          <w:szCs w:val="32"/>
        </w:rPr>
        <w:t>11</w:t>
      </w:r>
      <w:r>
        <w:rPr>
          <w:rFonts w:eastAsia="楷体_GB2312;楷体"/>
          <w:bCs/>
          <w:sz w:val="32"/>
          <w:szCs w:val="32"/>
        </w:rPr>
        <w:t xml:space="preserve">日自贡市第十七届人民代表大会常务委员会第十八次会议通过  </w:t>
      </w:r>
      <w:r>
        <w:rPr>
          <w:rFonts w:eastAsia="楷体_GB2312;楷体"/>
          <w:bCs/>
          <w:sz w:val="32"/>
          <w:szCs w:val="32"/>
        </w:rPr>
        <w:t>2018</w:t>
      </w:r>
      <w:r>
        <w:rPr>
          <w:rFonts w:eastAsia="楷体_GB2312;楷体"/>
          <w:bCs/>
          <w:sz w:val="32"/>
          <w:szCs w:val="32"/>
        </w:rPr>
        <w:t>年</w:t>
      </w:r>
      <w:r>
        <w:rPr>
          <w:rFonts w:eastAsia="楷体_GB2312;楷体"/>
          <w:bCs/>
          <w:sz w:val="32"/>
          <w:szCs w:val="32"/>
        </w:rPr>
        <w:t>12</w:t>
      </w:r>
      <w:r>
        <w:rPr>
          <w:rFonts w:eastAsia="楷体_GB2312;楷体"/>
          <w:bCs/>
          <w:sz w:val="32"/>
          <w:szCs w:val="32"/>
        </w:rPr>
        <w:t>月</w:t>
      </w:r>
      <w:r>
        <w:rPr>
          <w:rFonts w:eastAsia="楷体_GB2312;楷体"/>
          <w:bCs/>
          <w:sz w:val="32"/>
          <w:szCs w:val="32"/>
        </w:rPr>
        <w:t>7</w:t>
      </w:r>
      <w:r>
        <w:rPr>
          <w:rFonts w:eastAsia="楷体_GB2312;楷体"/>
          <w:bCs/>
          <w:sz w:val="32"/>
          <w:szCs w:val="32"/>
        </w:rPr>
        <w:t>日四川省第十三届人民代表大会常务委员会第八次会议批准）</w:t>
      </w:r>
    </w:p>
    <w:p>
      <w:pPr>
        <w:pStyle w:val="Normal"/>
        <w:widowControl/>
        <w:numPr>
          <w:ilvl w:val="0"/>
          <w:numId w:val="0"/>
        </w:numPr>
        <w:spacing w:lineRule="exact" w:line="576"/>
        <w:jc w:val="start"/>
        <w:outlineLvl w:val="2"/>
        <w:rPr>
          <w:sz w:val="32"/>
          <w:szCs w:val="32"/>
        </w:rPr>
      </w:pPr>
      <w:r>
        <w:rPr>
          <w:b/>
          <w:sz w:val="32"/>
          <w:szCs w:val="32"/>
        </w:rPr>
        <w:t xml:space="preserve"> </w:t>
      </w:r>
    </w:p>
    <w:p>
      <w:pPr>
        <w:pStyle w:val="Normal"/>
        <w:spacing w:lineRule="exact" w:line="576"/>
        <w:jc w:val="center"/>
        <w:rPr>
          <w:rFonts w:eastAsia="黑体;SimHei" w:hint="eastAsia"/>
          <w:bCs/>
          <w:sz w:val="32"/>
          <w:szCs w:val="32"/>
        </w:rPr>
      </w:pPr>
      <w:r>
        <w:rPr>
          <w:rFonts w:eastAsia="黑体;SimHei"/>
          <w:bCs/>
          <w:sz w:val="32"/>
          <w:szCs w:val="32"/>
        </w:rPr>
        <w:t>第一章  总  则</w:t>
      </w:r>
    </w:p>
    <w:p>
      <w:pPr>
        <w:pStyle w:val="Normal"/>
        <w:spacing w:lineRule="exact" w:line="576"/>
        <w:jc w:val="center"/>
        <w:rPr>
          <w:rFonts w:eastAsia="黑体;SimHei" w:hint="eastAsia"/>
          <w:bCs/>
          <w:sz w:val="32"/>
          <w:szCs w:val="32"/>
        </w:rPr>
      </w:pPr>
      <w:r>
        <w:rPr>
          <w:rFonts w:eastAsia="黑体;SimHei" w:hint="eastAsia"/>
          <w:bCs/>
          <w:sz w:val="32"/>
          <w:szCs w:val="32"/>
        </w:rPr>
      </w:r>
    </w:p>
    <w:p>
      <w:pPr>
        <w:pStyle w:val="Normal"/>
        <w:spacing w:lineRule="exact" w:line="576"/>
        <w:ind w:firstLineChars="200" w:startChars="0" w:start="0" w:endChars="0" w:end="0"/>
        <w:rPr/>
      </w:pPr>
      <w:r>
        <w:rPr>
          <w:rFonts w:ascii="黑体;SimHei" w:hAnsi="黑体;SimHei" w:cs="黑体;SimHei" w:eastAsia="黑体;SimHei"/>
          <w:sz w:val="32"/>
          <w:szCs w:val="32"/>
        </w:rPr>
        <w:t>第一条</w:t>
      </w:r>
      <w:r>
        <w:rPr>
          <w:bCs/>
          <w:sz w:val="32"/>
          <w:szCs w:val="32"/>
        </w:rPr>
        <w:t xml:space="preserve">  为了加强对自贡市井盐历史文化的保护管理和合理利用，根据《中华人民共和国文物保护法》《中华人民共和国文物保护法实施条例》《四川省〈中华人民共和国文物保护法〉实施办法》等法律、法规，结合自贡市实际，制定本条例。</w:t>
      </w:r>
    </w:p>
    <w:p>
      <w:pPr>
        <w:pStyle w:val="Normal"/>
        <w:spacing w:lineRule="exact" w:line="576"/>
        <w:ind w:firstLineChars="200" w:startChars="0" w:start="0" w:endChars="0" w:end="0"/>
        <w:rPr/>
      </w:pPr>
      <w:r>
        <w:rPr>
          <w:rFonts w:ascii="黑体;SimHei" w:hAnsi="黑体;SimHei" w:cs="黑体;SimHei" w:eastAsia="黑体;SimHei"/>
          <w:sz w:val="32"/>
          <w:szCs w:val="32"/>
        </w:rPr>
        <w:t>第二条</w:t>
      </w:r>
      <w:r>
        <w:rPr>
          <w:bCs/>
          <w:sz w:val="32"/>
          <w:szCs w:val="32"/>
        </w:rPr>
        <w:t xml:space="preserve">  本市行政区域内井盐历史文化的保护、利用和监督管理活动适用本条例。</w:t>
      </w:r>
    </w:p>
    <w:p>
      <w:pPr>
        <w:pStyle w:val="Normal"/>
        <w:spacing w:lineRule="exact" w:line="576"/>
        <w:ind w:firstLineChars="200" w:startChars="0" w:start="0" w:endChars="0" w:end="0"/>
        <w:rPr>
          <w:bCs/>
          <w:sz w:val="32"/>
          <w:szCs w:val="32"/>
        </w:rPr>
      </w:pPr>
      <w:r>
        <w:rPr>
          <w:bCs/>
          <w:sz w:val="32"/>
          <w:szCs w:val="32"/>
        </w:rPr>
        <w:t>本条例所称井盐历史文化，是指人们在古代、近代井盐生产、运输、贸易等活动中形成，并具有一定历史、艺术、科学价值，尚未被核定公布为文物保护单位的，以及现代具有特殊价值、特定纪念意义的不可移动文化资源。包括：</w:t>
      </w:r>
    </w:p>
    <w:p>
      <w:pPr>
        <w:pStyle w:val="Normal"/>
        <w:spacing w:lineRule="exact" w:line="576"/>
        <w:ind w:firstLineChars="200" w:startChars="0" w:start="0" w:endChars="0" w:end="0"/>
        <w:rPr>
          <w:bCs/>
          <w:sz w:val="32"/>
          <w:szCs w:val="32"/>
        </w:rPr>
      </w:pPr>
      <w:r>
        <w:rPr>
          <w:bCs/>
          <w:sz w:val="32"/>
          <w:szCs w:val="32"/>
        </w:rPr>
        <w:t>（一）与井盐生产相关，本体尚存、建筑格局相对完整的代表性建筑物、构筑物；</w:t>
      </w:r>
    </w:p>
    <w:p>
      <w:pPr>
        <w:pStyle w:val="Normal"/>
        <w:spacing w:lineRule="exact" w:line="576"/>
        <w:ind w:firstLineChars="200" w:startChars="0" w:start="0" w:endChars="0" w:end="0"/>
        <w:rPr>
          <w:bCs/>
          <w:sz w:val="32"/>
          <w:szCs w:val="32"/>
        </w:rPr>
      </w:pPr>
      <w:r>
        <w:rPr>
          <w:bCs/>
          <w:sz w:val="32"/>
          <w:szCs w:val="32"/>
        </w:rPr>
        <w:t xml:space="preserve">（二）与井盐运输、贸易相关，具有典型代表性的盐运水道、陆道沿线设施及建筑物、构筑物； </w:t>
      </w:r>
    </w:p>
    <w:p>
      <w:pPr>
        <w:pStyle w:val="Normal"/>
        <w:spacing w:lineRule="exact" w:line="576"/>
        <w:ind w:firstLineChars="200" w:startChars="0" w:start="0" w:endChars="0" w:end="0"/>
        <w:rPr>
          <w:bCs/>
          <w:sz w:val="32"/>
          <w:szCs w:val="32"/>
        </w:rPr>
      </w:pPr>
      <w:r>
        <w:rPr>
          <w:bCs/>
          <w:sz w:val="32"/>
          <w:szCs w:val="32"/>
        </w:rPr>
        <w:t>（三）与城市发展历史相关，能够体现井盐历史文化风貌的建筑物、构筑物。</w:t>
      </w:r>
    </w:p>
    <w:p>
      <w:pPr>
        <w:pStyle w:val="Normal"/>
        <w:spacing w:lineRule="exact" w:line="576"/>
        <w:ind w:firstLineChars="200" w:startChars="0" w:start="0" w:endChars="0" w:end="0"/>
        <w:rPr>
          <w:bCs/>
          <w:sz w:val="32"/>
          <w:szCs w:val="32"/>
        </w:rPr>
      </w:pPr>
      <w:r>
        <w:rPr>
          <w:bCs/>
          <w:sz w:val="32"/>
          <w:szCs w:val="32"/>
        </w:rPr>
        <w:t>相关法律、行政法规、省地方性法规对非物质文化遗产、可移动文物、文物保护单位、历史建筑作出规定的，依照其规定。</w:t>
      </w:r>
    </w:p>
    <w:p>
      <w:pPr>
        <w:pStyle w:val="Normal"/>
        <w:spacing w:lineRule="exact" w:line="576"/>
        <w:ind w:firstLineChars="200" w:startChars="0" w:start="0" w:endChars="0" w:end="0"/>
        <w:rPr/>
      </w:pPr>
      <w:r>
        <w:rPr>
          <w:rFonts w:ascii="黑体;SimHei" w:hAnsi="黑体;SimHei" w:cs="黑体;SimHei" w:eastAsia="黑体;SimHei"/>
          <w:sz w:val="32"/>
          <w:szCs w:val="32"/>
        </w:rPr>
        <w:t>第三条</w:t>
      </w:r>
      <w:r>
        <w:rPr>
          <w:bCs/>
          <w:sz w:val="32"/>
          <w:szCs w:val="32"/>
        </w:rPr>
        <w:t xml:space="preserve">  井盐历史文化保护遵循保护为主、抢救第一、合理利用、加强管理的原则。</w:t>
      </w:r>
    </w:p>
    <w:p>
      <w:pPr>
        <w:pStyle w:val="Normal"/>
        <w:spacing w:lineRule="exact" w:line="576"/>
        <w:ind w:firstLineChars="200" w:startChars="0" w:start="0" w:endChars="0" w:end="0"/>
        <w:rPr/>
      </w:pPr>
      <w:r>
        <w:rPr>
          <w:rFonts w:ascii="黑体;SimHei" w:hAnsi="黑体;SimHei" w:cs="黑体;SimHei" w:eastAsia="黑体;SimHei"/>
          <w:sz w:val="32"/>
          <w:szCs w:val="32"/>
        </w:rPr>
        <w:t>第四条</w:t>
      </w:r>
      <w:r>
        <w:rPr>
          <w:bCs/>
          <w:sz w:val="32"/>
          <w:szCs w:val="32"/>
        </w:rPr>
        <w:t xml:space="preserve">  市、县级人民政府负责本行政区域内井盐历史文化的保护工作。</w:t>
      </w:r>
    </w:p>
    <w:p>
      <w:pPr>
        <w:pStyle w:val="Normal"/>
        <w:spacing w:lineRule="exact" w:line="576"/>
        <w:ind w:firstLineChars="200" w:startChars="0" w:start="0" w:endChars="0" w:end="0"/>
        <w:rPr>
          <w:bCs/>
          <w:sz w:val="32"/>
          <w:szCs w:val="32"/>
        </w:rPr>
      </w:pPr>
      <w:r>
        <w:rPr>
          <w:bCs/>
          <w:sz w:val="32"/>
          <w:szCs w:val="32"/>
        </w:rPr>
        <w:t>市、县级人民政府应当将井盐历史文化保护工作纳入本级国民经济和社会发展规划、城乡规划、土地利用总体规划，保护所需经费列入本级财政预算。</w:t>
      </w:r>
    </w:p>
    <w:p>
      <w:pPr>
        <w:pStyle w:val="Normal"/>
        <w:spacing w:lineRule="exact" w:line="576"/>
        <w:ind w:firstLineChars="200" w:startChars="0" w:start="0" w:endChars="0" w:end="0"/>
        <w:rPr/>
      </w:pPr>
      <w:r>
        <w:rPr>
          <w:rFonts w:ascii="黑体;SimHei" w:hAnsi="黑体;SimHei" w:cs="黑体;SimHei" w:eastAsia="黑体;SimHei"/>
          <w:sz w:val="32"/>
          <w:szCs w:val="32"/>
        </w:rPr>
        <w:t>第五条</w:t>
      </w:r>
      <w:r>
        <w:rPr>
          <w:bCs/>
          <w:sz w:val="32"/>
          <w:szCs w:val="32"/>
        </w:rPr>
        <w:t xml:space="preserve">  市、县级文化行政主管部门对本行政区域内井盐历史文化的保护实施监督管理。</w:t>
      </w:r>
    </w:p>
    <w:p>
      <w:pPr>
        <w:pStyle w:val="Normal"/>
        <w:spacing w:lineRule="exact" w:line="576"/>
        <w:ind w:firstLineChars="200" w:startChars="0" w:start="0" w:endChars="0" w:end="0"/>
        <w:rPr>
          <w:bCs/>
          <w:sz w:val="32"/>
          <w:szCs w:val="32"/>
        </w:rPr>
      </w:pPr>
      <w:r>
        <w:rPr>
          <w:bCs/>
          <w:sz w:val="32"/>
          <w:szCs w:val="32"/>
        </w:rPr>
        <w:t>市、县级承担发改、教育、公安、民政、财政、自然资源、住建、交通、水务、生态环境、市场监管、宗教等职能的相关政府部门，应当按照井盐历史文化保护的要求，履行相应职责。</w:t>
      </w:r>
    </w:p>
    <w:p>
      <w:pPr>
        <w:pStyle w:val="Normal"/>
        <w:spacing w:lineRule="exact" w:line="576"/>
        <w:ind w:firstLineChars="200" w:startChars="0" w:start="0" w:endChars="0" w:end="0"/>
        <w:rPr/>
      </w:pPr>
      <w:r>
        <w:rPr>
          <w:rFonts w:ascii="黑体;SimHei" w:hAnsi="黑体;SimHei" w:cs="黑体;SimHei" w:eastAsia="黑体;SimHei"/>
          <w:sz w:val="32"/>
          <w:szCs w:val="32"/>
        </w:rPr>
        <w:t>第六条</w:t>
      </w:r>
      <w:r>
        <w:rPr>
          <w:rFonts w:eastAsia="楷体_GB2312;楷体"/>
          <w:b/>
          <w:sz w:val="32"/>
          <w:szCs w:val="32"/>
        </w:rPr>
        <w:t xml:space="preserve"> </w:t>
      </w:r>
      <w:r>
        <w:rPr>
          <w:bCs/>
          <w:sz w:val="32"/>
          <w:szCs w:val="32"/>
        </w:rPr>
        <w:t xml:space="preserve"> 乡（镇）人民政府、街道办事处按照属地管理原则，参与井盐历史文化保护工作，履行日常巡查等职责。</w:t>
      </w:r>
    </w:p>
    <w:p>
      <w:pPr>
        <w:pStyle w:val="Normal"/>
        <w:spacing w:lineRule="exact" w:line="576"/>
        <w:ind w:firstLineChars="200" w:startChars="0" w:start="0" w:endChars="0" w:end="0"/>
        <w:rPr>
          <w:bCs/>
          <w:sz w:val="32"/>
          <w:szCs w:val="32"/>
        </w:rPr>
      </w:pPr>
      <w:r>
        <w:rPr>
          <w:bCs/>
          <w:sz w:val="32"/>
          <w:szCs w:val="32"/>
        </w:rPr>
        <w:t>村（居）民委员会协助乡（镇）人民政府、街道办事处落实井盐历史文化的保护管理工作。</w:t>
      </w:r>
    </w:p>
    <w:p>
      <w:pPr>
        <w:pStyle w:val="Normal"/>
        <w:spacing w:lineRule="exact" w:line="576"/>
        <w:ind w:firstLineChars="200" w:startChars="0" w:start="0" w:endChars="0" w:end="0"/>
        <w:rPr/>
      </w:pPr>
      <w:r>
        <w:rPr>
          <w:rFonts w:ascii="黑体;SimHei" w:hAnsi="黑体;SimHei" w:cs="黑体;SimHei" w:eastAsia="黑体;SimHei"/>
          <w:sz w:val="32"/>
          <w:szCs w:val="32"/>
        </w:rPr>
        <w:t>第七条</w:t>
      </w:r>
      <w:r>
        <w:rPr>
          <w:bCs/>
          <w:sz w:val="32"/>
          <w:szCs w:val="32"/>
        </w:rPr>
        <w:t xml:space="preserve">  任何单位和个人有权对破坏、损毁井盐历史文化资源的行为进行劝阻、举报。</w:t>
      </w:r>
    </w:p>
    <w:p>
      <w:pPr>
        <w:pStyle w:val="Normal"/>
        <w:spacing w:lineRule="exact" w:line="576"/>
        <w:ind w:firstLineChars="200" w:startChars="0" w:start="0" w:endChars="0" w:end="0"/>
        <w:rPr>
          <w:bCs/>
          <w:sz w:val="32"/>
          <w:szCs w:val="32"/>
        </w:rPr>
      </w:pPr>
      <w:r>
        <w:rPr>
          <w:bCs/>
          <w:sz w:val="32"/>
          <w:szCs w:val="32"/>
        </w:rPr>
        <w:t>鼓励企业、事业单位、社会团体和个人采取合法形式参与井盐历史文化保护工作。</w:t>
      </w:r>
    </w:p>
    <w:p>
      <w:pPr>
        <w:pStyle w:val="Normal"/>
        <w:spacing w:lineRule="exact" w:line="576"/>
        <w:ind w:firstLineChars="200" w:startChars="0" w:start="0" w:endChars="0" w:end="0"/>
        <w:rPr/>
      </w:pPr>
      <w:r>
        <w:rPr>
          <w:rFonts w:ascii="黑体;SimHei" w:hAnsi="黑体;SimHei" w:cs="黑体;SimHei" w:eastAsia="黑体;SimHei"/>
          <w:sz w:val="32"/>
          <w:szCs w:val="32"/>
        </w:rPr>
        <w:t>第八条</w:t>
      </w:r>
      <w:r>
        <w:rPr>
          <w:bCs/>
          <w:sz w:val="32"/>
          <w:szCs w:val="32"/>
        </w:rPr>
        <w:t xml:space="preserve">  市、县级人民政府应当加强井盐历史文化保护的宣传教育，强化公众的保护意识。</w:t>
      </w:r>
    </w:p>
    <w:p>
      <w:pPr>
        <w:pStyle w:val="Normal"/>
        <w:spacing w:lineRule="exact" w:line="576"/>
        <w:ind w:firstLineChars="200" w:startChars="0" w:start="0" w:endChars="0" w:end="0"/>
        <w:rPr>
          <w:bCs/>
          <w:sz w:val="32"/>
          <w:szCs w:val="32"/>
        </w:rPr>
      </w:pPr>
      <w:r>
        <w:rPr>
          <w:bCs/>
          <w:sz w:val="32"/>
          <w:szCs w:val="32"/>
        </w:rPr>
        <w:t>对井盐历史文化保护作出重大贡献的单位、组织和个人，依照国家和省相关规定给予表彰奖励。</w:t>
      </w:r>
    </w:p>
    <w:p>
      <w:pPr>
        <w:pStyle w:val="Normal"/>
        <w:spacing w:lineRule="exact" w:line="576"/>
        <w:ind w:firstLineChars="200" w:startChars="0" w:start="0" w:endChars="0" w:end="0"/>
        <w:rPr>
          <w:bCs/>
          <w:sz w:val="32"/>
          <w:szCs w:val="32"/>
        </w:rPr>
      </w:pPr>
      <w:r>
        <w:rPr>
          <w:bCs/>
          <w:sz w:val="32"/>
          <w:szCs w:val="32"/>
        </w:rPr>
      </w:r>
    </w:p>
    <w:p>
      <w:pPr>
        <w:pStyle w:val="Normal"/>
        <w:spacing w:lineRule="exact" w:line="576"/>
        <w:jc w:val="center"/>
        <w:rPr>
          <w:rFonts w:eastAsia="黑体;SimHei" w:hint="eastAsia"/>
          <w:bCs/>
          <w:sz w:val="32"/>
          <w:szCs w:val="32"/>
        </w:rPr>
      </w:pPr>
      <w:r>
        <w:rPr>
          <w:rFonts w:eastAsia="黑体;SimHei"/>
          <w:bCs/>
          <w:sz w:val="32"/>
          <w:szCs w:val="32"/>
        </w:rPr>
        <w:t>第二章  保护管理</w:t>
      </w:r>
    </w:p>
    <w:p>
      <w:pPr>
        <w:pStyle w:val="Normal"/>
        <w:spacing w:lineRule="exact" w:line="576"/>
        <w:jc w:val="center"/>
        <w:rPr>
          <w:rFonts w:eastAsia="黑体;SimHei" w:hint="eastAsia"/>
          <w:bCs/>
          <w:sz w:val="32"/>
          <w:szCs w:val="32"/>
        </w:rPr>
      </w:pPr>
      <w:r>
        <w:rPr>
          <w:rFonts w:eastAsia="黑体;SimHei" w:hint="eastAsia"/>
          <w:bCs/>
          <w:sz w:val="32"/>
          <w:szCs w:val="32"/>
        </w:rPr>
      </w:r>
    </w:p>
    <w:p>
      <w:pPr>
        <w:pStyle w:val="Normal"/>
        <w:spacing w:lineRule="exact" w:line="576"/>
        <w:ind w:firstLineChars="200" w:startChars="0" w:start="0" w:endChars="0" w:end="0"/>
        <w:rPr/>
      </w:pPr>
      <w:r>
        <w:rPr>
          <w:rFonts w:ascii="黑体;SimHei" w:hAnsi="黑体;SimHei" w:cs="黑体;SimHei" w:eastAsia="黑体;SimHei"/>
          <w:sz w:val="32"/>
          <w:szCs w:val="32"/>
        </w:rPr>
        <w:t>第九条</w:t>
      </w:r>
      <w:r>
        <w:rPr>
          <w:bCs/>
          <w:sz w:val="32"/>
          <w:szCs w:val="32"/>
        </w:rPr>
        <w:t xml:space="preserve">  市、县级文化行政主管部门应当按照普查工作技术规范，每五年组织一次井盐历史文化资源的普查。</w:t>
      </w:r>
    </w:p>
    <w:p>
      <w:pPr>
        <w:pStyle w:val="Normal"/>
        <w:spacing w:lineRule="exact" w:line="576"/>
        <w:ind w:firstLineChars="200" w:startChars="0" w:start="0" w:endChars="0" w:end="0"/>
        <w:rPr/>
      </w:pPr>
      <w:r>
        <w:rPr>
          <w:rFonts w:ascii="黑体;SimHei" w:hAnsi="黑体;SimHei" w:cs="黑体;SimHei" w:eastAsia="黑体;SimHei"/>
          <w:sz w:val="32"/>
          <w:szCs w:val="32"/>
        </w:rPr>
        <w:t>第十条</w:t>
      </w:r>
      <w:r>
        <w:rPr>
          <w:bCs/>
          <w:sz w:val="32"/>
          <w:szCs w:val="32"/>
        </w:rPr>
        <w:t xml:space="preserve">  县级文化行政主管部门根据普查结果，组织相关领域专家进行论证，提出价值评估意见，编制井盐历史文化资源保护名录，经市文化行政主管部门审核，向社会公示后，由市人民政府审定公布。</w:t>
      </w:r>
    </w:p>
    <w:p>
      <w:pPr>
        <w:pStyle w:val="Normal"/>
        <w:spacing w:lineRule="exact" w:line="576"/>
        <w:ind w:firstLineChars="200" w:startChars="0" w:start="0" w:endChars="0" w:end="0"/>
        <w:rPr>
          <w:bCs/>
          <w:sz w:val="32"/>
          <w:szCs w:val="32"/>
        </w:rPr>
      </w:pPr>
      <w:r>
        <w:rPr>
          <w:bCs/>
          <w:sz w:val="32"/>
          <w:szCs w:val="32"/>
        </w:rPr>
        <w:t>市文化行政主管部门可以根据认定标准，经组织专家论证直接列入井盐历史文化资源保护名录，向社会公示后，报市人民政府审定公布。</w:t>
      </w:r>
    </w:p>
    <w:p>
      <w:pPr>
        <w:pStyle w:val="Normal"/>
        <w:spacing w:lineRule="exact" w:line="576"/>
        <w:ind w:firstLineChars="200" w:startChars="0" w:start="0" w:endChars="0" w:end="0"/>
        <w:rPr/>
      </w:pPr>
      <w:r>
        <w:rPr>
          <w:rFonts w:ascii="黑体;SimHei" w:hAnsi="黑体;SimHei" w:cs="黑体;SimHei" w:eastAsia="黑体;SimHei"/>
          <w:sz w:val="32"/>
          <w:szCs w:val="32"/>
        </w:rPr>
        <w:t>第十一条</w:t>
      </w:r>
      <w:r>
        <w:rPr>
          <w:bCs/>
          <w:sz w:val="32"/>
          <w:szCs w:val="32"/>
        </w:rPr>
        <w:t xml:space="preserve">  县级文化行政主管部门应当根据保护需要，结合自贡市历史文化名城保护规划、城乡建设和发展规划、旅游发展规划，制定井盐历史文化资源的具体保护措施，并公告施行。</w:t>
      </w:r>
    </w:p>
    <w:p>
      <w:pPr>
        <w:pStyle w:val="Normal"/>
        <w:spacing w:lineRule="exact" w:line="576"/>
        <w:ind w:firstLineChars="200" w:startChars="0" w:start="0" w:endChars="0" w:end="0"/>
        <w:rPr/>
      </w:pPr>
      <w:r>
        <w:rPr>
          <w:rFonts w:ascii="黑体;SimHei" w:hAnsi="黑体;SimHei" w:cs="黑体;SimHei" w:eastAsia="黑体;SimHei"/>
          <w:sz w:val="32"/>
          <w:szCs w:val="32"/>
        </w:rPr>
        <w:t>第十二条</w:t>
      </w:r>
      <w:r>
        <w:rPr>
          <w:bCs/>
          <w:sz w:val="32"/>
          <w:szCs w:val="32"/>
        </w:rPr>
        <w:t xml:space="preserve">  县级文化行政主管部门应当确定井盐历史文化资源的保护管理责任人。</w:t>
      </w:r>
    </w:p>
    <w:p>
      <w:pPr>
        <w:pStyle w:val="Normal"/>
        <w:spacing w:lineRule="exact" w:line="576"/>
        <w:ind w:firstLineChars="200" w:startChars="0" w:start="0" w:endChars="0" w:end="0"/>
        <w:rPr/>
      </w:pPr>
      <w:r>
        <w:rPr>
          <w:rFonts w:ascii="黑体;SimHei" w:hAnsi="黑体;SimHei" w:cs="黑体;SimHei" w:eastAsia="黑体;SimHei"/>
          <w:sz w:val="32"/>
          <w:szCs w:val="32"/>
        </w:rPr>
        <w:t>第十三条</w:t>
      </w:r>
      <w:r>
        <w:rPr>
          <w:bCs/>
          <w:sz w:val="32"/>
          <w:szCs w:val="32"/>
        </w:rPr>
        <w:t xml:space="preserve">  井盐历史文化资源保护名录公布之日起一年内，市、县级文化行政主管部门应当会同规划、住建主管部门对井盐历史文化资源逐一划定必要的保护范围，并向社会公示，按程序报市、县级人民政府审核后公布。</w:t>
      </w:r>
    </w:p>
    <w:p>
      <w:pPr>
        <w:pStyle w:val="Normal"/>
        <w:spacing w:lineRule="exact" w:line="576"/>
        <w:ind w:firstLineChars="200" w:startChars="0" w:start="0" w:endChars="0" w:end="0"/>
        <w:rPr/>
      </w:pPr>
      <w:r>
        <w:rPr>
          <w:rFonts w:ascii="黑体;SimHei" w:hAnsi="黑体;SimHei" w:cs="黑体;SimHei" w:eastAsia="黑体;SimHei"/>
          <w:sz w:val="32"/>
          <w:szCs w:val="32"/>
        </w:rPr>
        <w:t>第十四条</w:t>
      </w:r>
      <w:r>
        <w:rPr>
          <w:bCs/>
          <w:sz w:val="32"/>
          <w:szCs w:val="32"/>
        </w:rPr>
        <w:t xml:space="preserve">  县级人民政府应当为本行政区域内井盐历史文化资源设立保护标识，作出标识说明。</w:t>
      </w:r>
    </w:p>
    <w:p>
      <w:pPr>
        <w:pStyle w:val="Normal"/>
        <w:spacing w:lineRule="exact" w:line="576"/>
        <w:ind w:firstLineChars="200" w:startChars="0" w:start="0" w:endChars="0" w:end="0"/>
        <w:rPr>
          <w:bCs/>
          <w:sz w:val="32"/>
          <w:szCs w:val="32"/>
        </w:rPr>
      </w:pPr>
      <w:r>
        <w:rPr>
          <w:bCs/>
          <w:sz w:val="32"/>
          <w:szCs w:val="32"/>
        </w:rPr>
        <w:t>标识说明，应当包括井盐历史文化资源的名称、本体构成、年代、权属性质、公布机关、公布日期、立标机关、立标日期等内容。</w:t>
      </w:r>
    </w:p>
    <w:p>
      <w:pPr>
        <w:pStyle w:val="Normal"/>
        <w:spacing w:lineRule="exact" w:line="576"/>
        <w:ind w:firstLineChars="200" w:startChars="0" w:start="0" w:endChars="0" w:end="0"/>
        <w:rPr/>
      </w:pPr>
      <w:r>
        <w:rPr>
          <w:rFonts w:ascii="黑体;SimHei" w:hAnsi="黑体;SimHei" w:cs="黑体;SimHei" w:eastAsia="黑体;SimHei"/>
          <w:sz w:val="32"/>
          <w:szCs w:val="32"/>
        </w:rPr>
        <w:t>第十五条</w:t>
      </w:r>
      <w:r>
        <w:rPr>
          <w:bCs/>
          <w:sz w:val="32"/>
          <w:szCs w:val="32"/>
        </w:rPr>
        <w:t xml:space="preserve">  县级人民政府应当为本行政区域内井盐历史文化资源建立记录档案。</w:t>
      </w:r>
    </w:p>
    <w:p>
      <w:pPr>
        <w:pStyle w:val="Normal"/>
        <w:spacing w:lineRule="exact" w:line="576"/>
        <w:ind w:firstLineChars="200" w:startChars="0" w:start="0" w:endChars="0" w:end="0"/>
        <w:rPr>
          <w:bCs/>
          <w:sz w:val="32"/>
          <w:szCs w:val="32"/>
        </w:rPr>
      </w:pPr>
      <w:r>
        <w:rPr>
          <w:bCs/>
          <w:sz w:val="32"/>
          <w:szCs w:val="32"/>
        </w:rPr>
        <w:t>井盐历史文化资源的记录档案，应当包括井盐历史文化资源本体记录等科学技术资料和有关文献记载、行政管理等内容。井盐历史文化资源的记录档案，应当充分利用文字、音像制品、图画、拓片、摹本、电子文本等形式，有效表现其所载内容。</w:t>
      </w:r>
    </w:p>
    <w:p>
      <w:pPr>
        <w:pStyle w:val="Normal"/>
        <w:spacing w:lineRule="exact" w:line="576"/>
        <w:ind w:firstLineChars="200" w:startChars="0" w:start="0" w:endChars="0" w:end="0"/>
        <w:rPr/>
      </w:pPr>
      <w:r>
        <w:rPr>
          <w:rFonts w:ascii="黑体;SimHei" w:hAnsi="黑体;SimHei" w:cs="黑体;SimHei" w:eastAsia="黑体;SimHei"/>
          <w:sz w:val="32"/>
          <w:szCs w:val="32"/>
        </w:rPr>
        <w:t>第十六条</w:t>
      </w:r>
      <w:r>
        <w:rPr>
          <w:bCs/>
          <w:sz w:val="32"/>
          <w:szCs w:val="32"/>
        </w:rPr>
        <w:t xml:space="preserve">  市、县级文化行政主管部门应当制定安全事故防范预案，定期检查井盐历史文化资源保护情况，及时发现和消除安全隐患，依法查处危害井盐历史文化资源的行为。</w:t>
      </w:r>
    </w:p>
    <w:p>
      <w:pPr>
        <w:pStyle w:val="Normal"/>
        <w:spacing w:lineRule="exact" w:line="576"/>
        <w:ind w:firstLineChars="200" w:startChars="0" w:start="0" w:endChars="0" w:end="0"/>
        <w:rPr>
          <w:bCs/>
          <w:sz w:val="32"/>
          <w:szCs w:val="32"/>
        </w:rPr>
      </w:pPr>
      <w:r>
        <w:rPr>
          <w:bCs/>
          <w:sz w:val="32"/>
          <w:szCs w:val="32"/>
        </w:rPr>
        <w:t>保护管理责任人应当建立健全保护制度，指定专人负责管理，并配备消防、安全防范等保护性设施设备。</w:t>
      </w:r>
    </w:p>
    <w:p>
      <w:pPr>
        <w:pStyle w:val="Normal"/>
        <w:spacing w:lineRule="exact" w:line="576"/>
        <w:ind w:firstLineChars="200" w:startChars="0" w:start="0" w:endChars="0" w:end="0"/>
        <w:rPr>
          <w:bCs/>
          <w:sz w:val="32"/>
          <w:szCs w:val="32"/>
        </w:rPr>
      </w:pPr>
      <w:r>
        <w:rPr>
          <w:bCs/>
          <w:sz w:val="32"/>
          <w:szCs w:val="32"/>
        </w:rPr>
        <w:t>保护管理责任人发现井盐历史文化资源有安全险情时，应当立即采取必要救护措施，并向市、县级文化行政主管部门报告。</w:t>
      </w:r>
    </w:p>
    <w:p>
      <w:pPr>
        <w:pStyle w:val="Normal"/>
        <w:spacing w:lineRule="exact" w:line="576"/>
        <w:ind w:firstLineChars="200" w:startChars="0" w:start="0" w:endChars="0" w:end="0"/>
        <w:rPr/>
      </w:pPr>
      <w:r>
        <w:rPr>
          <w:rFonts w:ascii="黑体;SimHei" w:hAnsi="黑体;SimHei" w:cs="黑体;SimHei" w:eastAsia="黑体;SimHei"/>
          <w:sz w:val="32"/>
          <w:szCs w:val="32"/>
        </w:rPr>
        <w:t>第十七条</w:t>
      </w:r>
      <w:r>
        <w:rPr>
          <w:bCs/>
          <w:sz w:val="32"/>
          <w:szCs w:val="32"/>
        </w:rPr>
        <w:t xml:space="preserve">  县级文化行政主管部门应当每年开展巡查登记，将井盐历史文化资源名称、位置、范围、权属性质等信息，及时告知同级承担发改、自然资源、住建、交通、水务、市场监管等与井盐历史文化保护相关职责的行政主管部门和所在地的乡</w:t>
      </w:r>
      <w:r>
        <w:rPr>
          <w:bCs/>
          <w:sz w:val="32"/>
          <w:szCs w:val="32"/>
        </w:rPr>
        <w:t>(</w:t>
      </w:r>
      <w:r>
        <w:rPr>
          <w:bCs/>
          <w:sz w:val="32"/>
          <w:szCs w:val="32"/>
        </w:rPr>
        <w:t>镇</w:t>
      </w:r>
      <w:r>
        <w:rPr>
          <w:bCs/>
          <w:sz w:val="32"/>
          <w:szCs w:val="32"/>
        </w:rPr>
        <w:t>)</w:t>
      </w:r>
      <w:r>
        <w:rPr>
          <w:bCs/>
          <w:sz w:val="32"/>
          <w:szCs w:val="32"/>
        </w:rPr>
        <w:t>人民政府、街道办事处，建立部门协作保护工作机制，指导基层开展井盐历史文化保护工作。</w:t>
      </w:r>
    </w:p>
    <w:p>
      <w:pPr>
        <w:pStyle w:val="Normal"/>
        <w:spacing w:lineRule="exact" w:line="576"/>
        <w:ind w:firstLineChars="200" w:startChars="0" w:start="0" w:endChars="0" w:end="0"/>
        <w:rPr/>
      </w:pPr>
      <w:r>
        <w:rPr>
          <w:rFonts w:ascii="黑体;SimHei" w:hAnsi="黑体;SimHei" w:cs="黑体;SimHei" w:eastAsia="黑体;SimHei"/>
          <w:sz w:val="32"/>
          <w:szCs w:val="32"/>
        </w:rPr>
        <w:t>第十八条</w:t>
      </w:r>
      <w:r>
        <w:rPr>
          <w:bCs/>
          <w:sz w:val="32"/>
          <w:szCs w:val="32"/>
        </w:rPr>
        <w:t xml:space="preserve">  井盐历史文化资源保护范围内，禁止下列破坏或者危害井盐历史文化资源的行为：</w:t>
      </w:r>
    </w:p>
    <w:p>
      <w:pPr>
        <w:pStyle w:val="Normal"/>
        <w:spacing w:lineRule="exact" w:line="576"/>
        <w:ind w:firstLineChars="200" w:startChars="0" w:start="0" w:endChars="0" w:end="0"/>
        <w:rPr>
          <w:bCs/>
          <w:sz w:val="32"/>
          <w:szCs w:val="32"/>
        </w:rPr>
      </w:pPr>
      <w:r>
        <w:rPr>
          <w:bCs/>
          <w:sz w:val="32"/>
          <w:szCs w:val="32"/>
        </w:rPr>
        <w:t>（一）刻划、涂污、损坏井盐历史文化资源；</w:t>
      </w:r>
    </w:p>
    <w:p>
      <w:pPr>
        <w:pStyle w:val="Normal"/>
        <w:spacing w:lineRule="exact" w:line="576"/>
        <w:ind w:firstLineChars="200" w:startChars="0" w:start="0" w:endChars="0" w:end="0"/>
        <w:rPr>
          <w:bCs/>
          <w:sz w:val="32"/>
          <w:szCs w:val="32"/>
        </w:rPr>
      </w:pPr>
      <w:r>
        <w:rPr>
          <w:bCs/>
          <w:sz w:val="32"/>
          <w:szCs w:val="32"/>
        </w:rPr>
        <w:t>（二）刻划、涂污、损毁或者擅自移动井盐历史文化资源保护标识；</w:t>
      </w:r>
    </w:p>
    <w:p>
      <w:pPr>
        <w:pStyle w:val="Normal"/>
        <w:spacing w:lineRule="exact" w:line="576"/>
        <w:ind w:firstLineChars="200" w:startChars="0" w:start="0" w:endChars="0" w:end="0"/>
        <w:rPr>
          <w:bCs/>
          <w:sz w:val="32"/>
          <w:szCs w:val="32"/>
        </w:rPr>
      </w:pPr>
      <w:r>
        <w:rPr>
          <w:bCs/>
          <w:sz w:val="32"/>
          <w:szCs w:val="32"/>
        </w:rPr>
        <w:t>（三）存放易燃、易爆、易腐蚀等危及井盐历史文化资源安全的物品；</w:t>
      </w:r>
    </w:p>
    <w:p>
      <w:pPr>
        <w:pStyle w:val="Normal"/>
        <w:spacing w:lineRule="exact" w:line="576"/>
        <w:ind w:firstLineChars="200" w:startChars="0" w:start="0" w:endChars="0" w:end="0"/>
        <w:rPr>
          <w:bCs/>
          <w:sz w:val="32"/>
          <w:szCs w:val="32"/>
        </w:rPr>
      </w:pPr>
      <w:r>
        <w:rPr>
          <w:bCs/>
          <w:sz w:val="32"/>
          <w:szCs w:val="32"/>
        </w:rPr>
        <w:t>（四）法律法规禁止的其他行为。</w:t>
      </w:r>
    </w:p>
    <w:p>
      <w:pPr>
        <w:pStyle w:val="Normal"/>
        <w:spacing w:lineRule="exact" w:line="576"/>
        <w:ind w:firstLineChars="200" w:startChars="0" w:start="0" w:endChars="0" w:end="0"/>
        <w:rPr/>
      </w:pPr>
      <w:r>
        <w:rPr>
          <w:rFonts w:ascii="黑体;SimHei" w:hAnsi="黑体;SimHei" w:cs="黑体;SimHei" w:eastAsia="黑体;SimHei"/>
          <w:sz w:val="32"/>
          <w:szCs w:val="32"/>
        </w:rPr>
        <w:t>第十九条</w:t>
      </w:r>
      <w:r>
        <w:rPr>
          <w:bCs/>
          <w:sz w:val="32"/>
          <w:szCs w:val="32"/>
        </w:rPr>
        <w:t xml:space="preserve">  井盐历史文化资源保护范围内，不得进行其他建设工程或者爆破、钻探、挖掘等作业。因特殊情况需要在井盐历史文化资源保护范围内进行其他建设工程或者爆破、钻探、挖掘等作业的，必须保证井盐历史文化资源的安全，并经县级人民政府批准，批准前应当征得市文化行政主管部门同意。</w:t>
      </w:r>
    </w:p>
    <w:p>
      <w:pPr>
        <w:pStyle w:val="Normal"/>
        <w:spacing w:lineRule="exact" w:line="576"/>
        <w:ind w:firstLineChars="200" w:startChars="0" w:start="0" w:endChars="0" w:end="0"/>
        <w:rPr/>
      </w:pPr>
      <w:r>
        <w:rPr>
          <w:rFonts w:ascii="黑体;SimHei" w:hAnsi="黑体;SimHei" w:cs="黑体;SimHei" w:eastAsia="黑体;SimHei"/>
          <w:sz w:val="32"/>
          <w:szCs w:val="32"/>
        </w:rPr>
        <w:t>第二十条</w:t>
      </w:r>
      <w:r>
        <w:rPr>
          <w:bCs/>
          <w:sz w:val="32"/>
          <w:szCs w:val="32"/>
        </w:rPr>
        <w:t xml:space="preserve">  对井盐历史文化资源进行修缮，应当报县级文化行政主管部门批准。</w:t>
      </w:r>
    </w:p>
    <w:p>
      <w:pPr>
        <w:pStyle w:val="Normal"/>
        <w:spacing w:lineRule="exact" w:line="576"/>
        <w:ind w:firstLineChars="200" w:startChars="0" w:start="0" w:endChars="0" w:end="0"/>
        <w:rPr>
          <w:bCs/>
          <w:sz w:val="32"/>
          <w:szCs w:val="32"/>
        </w:rPr>
      </w:pPr>
      <w:r>
        <w:rPr>
          <w:bCs/>
          <w:sz w:val="32"/>
          <w:szCs w:val="32"/>
        </w:rPr>
        <w:t>井盐历史文化资源的保护修缮工程，应当由具有相应资质的单位承担。</w:t>
      </w:r>
    </w:p>
    <w:p>
      <w:pPr>
        <w:pStyle w:val="Normal"/>
        <w:spacing w:lineRule="exact" w:line="576"/>
        <w:ind w:firstLineChars="200" w:startChars="0" w:start="0" w:endChars="0" w:end="0"/>
        <w:rPr/>
      </w:pPr>
      <w:r>
        <w:rPr>
          <w:rFonts w:ascii="黑体;SimHei" w:hAnsi="黑体;SimHei" w:cs="黑体;SimHei" w:eastAsia="黑体;SimHei"/>
          <w:sz w:val="32"/>
          <w:szCs w:val="32"/>
        </w:rPr>
        <w:t>第二十一条</w:t>
      </w:r>
      <w:r>
        <w:rPr>
          <w:bCs/>
          <w:sz w:val="32"/>
          <w:szCs w:val="32"/>
        </w:rPr>
        <w:t xml:space="preserve">  国有井盐历史文化资源保护修缮工程所需费用由使用人承担；费用不足的，使用人可以向所在地县级文化行政主管部门申请补助。</w:t>
      </w:r>
    </w:p>
    <w:p>
      <w:pPr>
        <w:pStyle w:val="Normal"/>
        <w:spacing w:lineRule="exact" w:line="576"/>
        <w:ind w:firstLineChars="200" w:startChars="0" w:start="0" w:endChars="0" w:end="0"/>
        <w:rPr>
          <w:bCs/>
          <w:sz w:val="32"/>
          <w:szCs w:val="32"/>
        </w:rPr>
      </w:pPr>
      <w:r>
        <w:rPr>
          <w:bCs/>
          <w:sz w:val="32"/>
          <w:szCs w:val="32"/>
        </w:rPr>
        <w:t>民间井盐历史文化资源有损毁危险、保护管理责任人不具备修缮能力的，当地人民政府应当给予帮助。</w:t>
      </w:r>
    </w:p>
    <w:p>
      <w:pPr>
        <w:pStyle w:val="Normal"/>
        <w:spacing w:lineRule="exact" w:line="576"/>
        <w:ind w:firstLineChars="200" w:startChars="0" w:start="0" w:endChars="0" w:end="0"/>
        <w:rPr/>
      </w:pPr>
      <w:r>
        <w:rPr>
          <w:rFonts w:ascii="黑体;SimHei" w:hAnsi="黑体;SimHei" w:cs="黑体;SimHei" w:eastAsia="黑体;SimHei"/>
          <w:sz w:val="32"/>
          <w:szCs w:val="32"/>
        </w:rPr>
        <w:t>第二十二条</w:t>
      </w:r>
      <w:r>
        <w:rPr>
          <w:bCs/>
          <w:sz w:val="32"/>
          <w:szCs w:val="32"/>
        </w:rPr>
        <w:t xml:space="preserve">  建设工程选址，应当尽可能避开井盐历史文化资源；因特殊情况不能避开的，对井盐历史文化资源应当尽可能实施原址保护。</w:t>
      </w:r>
    </w:p>
    <w:p>
      <w:pPr>
        <w:pStyle w:val="Normal"/>
        <w:spacing w:lineRule="exact" w:line="576"/>
        <w:ind w:firstLineChars="200" w:startChars="0" w:start="0" w:endChars="0" w:end="0"/>
        <w:rPr>
          <w:bCs/>
          <w:sz w:val="32"/>
          <w:szCs w:val="32"/>
        </w:rPr>
      </w:pPr>
      <w:r>
        <w:rPr>
          <w:bCs/>
          <w:sz w:val="32"/>
          <w:szCs w:val="32"/>
        </w:rPr>
        <w:t>实施原址保护的，建设单位应当事先确定保护措施，报县级文化行政主管部门批准，批准前须征得市文化行政主管部门同意；未经批准的，不得开工建设。</w:t>
      </w:r>
    </w:p>
    <w:p>
      <w:pPr>
        <w:pStyle w:val="Normal"/>
        <w:spacing w:lineRule="exact" w:line="576"/>
        <w:ind w:firstLineChars="200" w:startChars="0" w:start="0" w:endChars="0" w:end="0"/>
        <w:rPr>
          <w:bCs/>
          <w:sz w:val="32"/>
          <w:szCs w:val="32"/>
        </w:rPr>
      </w:pPr>
      <w:r>
        <w:rPr>
          <w:bCs/>
          <w:sz w:val="32"/>
          <w:szCs w:val="32"/>
        </w:rPr>
        <w:t>无法实施原址保护，必须迁移异地保护或者拆除的，应当报县级文化行政主管部门批准，批准前须征得市文化行政主管部门同意。</w:t>
      </w:r>
    </w:p>
    <w:p>
      <w:pPr>
        <w:pStyle w:val="Normal"/>
        <w:spacing w:lineRule="exact" w:line="576"/>
        <w:ind w:firstLineChars="200" w:startChars="0" w:start="0" w:endChars="0" w:end="0"/>
        <w:rPr/>
      </w:pPr>
      <w:r>
        <w:rPr>
          <w:rFonts w:ascii="黑体;SimHei" w:hAnsi="黑体;SimHei" w:cs="黑体;SimHei" w:eastAsia="黑体;SimHei"/>
          <w:sz w:val="32"/>
          <w:szCs w:val="32"/>
        </w:rPr>
        <w:t>第二十三条</w:t>
      </w:r>
      <w:r>
        <w:rPr>
          <w:bCs/>
          <w:sz w:val="32"/>
          <w:szCs w:val="32"/>
        </w:rPr>
        <w:t xml:space="preserve">  经依法批准迁移或者拆除井盐历史文化资源的，所在地县级文化行政主管部门应当组织做好测绘、登记、摄像和文字记录等资料收集工作，并纳入记录档案。迁移、拆除等所需费用由建设单位列入建设工程预算。</w:t>
      </w:r>
    </w:p>
    <w:p>
      <w:pPr>
        <w:pStyle w:val="Normal"/>
        <w:spacing w:lineRule="exact" w:line="576"/>
        <w:ind w:firstLineChars="200" w:startChars="0" w:start="0" w:endChars="0" w:end="0"/>
        <w:rPr>
          <w:bCs/>
          <w:sz w:val="32"/>
          <w:szCs w:val="32"/>
        </w:rPr>
      </w:pPr>
      <w:r>
        <w:rPr>
          <w:bCs/>
          <w:sz w:val="32"/>
          <w:szCs w:val="32"/>
        </w:rPr>
        <w:t>经依法批准拆除的国有井盐历史文化资源中具有收藏价值的壁画、墨书、雕塑、石刻、建筑构件等，由市、县级文化行政主管部门指定文物收藏单位收藏。</w:t>
      </w:r>
    </w:p>
    <w:p>
      <w:pPr>
        <w:pStyle w:val="Normal"/>
        <w:spacing w:lineRule="exact" w:line="576"/>
        <w:ind w:firstLineChars="200" w:startChars="0" w:start="0" w:endChars="0" w:end="0"/>
        <w:rPr/>
      </w:pPr>
      <w:r>
        <w:rPr>
          <w:rFonts w:ascii="黑体;SimHei" w:hAnsi="黑体;SimHei" w:cs="黑体;SimHei" w:eastAsia="黑体;SimHei"/>
          <w:sz w:val="32"/>
          <w:szCs w:val="32"/>
        </w:rPr>
        <w:t>第二十四条</w:t>
      </w:r>
      <w:r>
        <w:rPr>
          <w:rFonts w:eastAsia="楷体_GB2312;楷体"/>
          <w:b/>
          <w:sz w:val="32"/>
          <w:szCs w:val="32"/>
        </w:rPr>
        <w:t xml:space="preserve"> </w:t>
      </w:r>
      <w:r>
        <w:rPr>
          <w:bCs/>
          <w:sz w:val="32"/>
          <w:szCs w:val="32"/>
        </w:rPr>
        <w:t xml:space="preserve"> 井盐历史文化资源已经全部毁坏的，应当实施遗址保护，不得在原址重建。已登记为不可移动文物的井盐历史文化资源，因特殊情况需要在原址重建的，按照文物保护法律、法规规定的程序报请批准。</w:t>
      </w:r>
    </w:p>
    <w:p>
      <w:pPr>
        <w:pStyle w:val="Normal"/>
        <w:spacing w:lineRule="exact" w:line="576"/>
        <w:ind w:firstLineChars="200" w:startChars="0" w:start="0" w:endChars="0" w:end="0"/>
        <w:rPr/>
      </w:pPr>
      <w:r>
        <w:rPr>
          <w:rFonts w:ascii="黑体;SimHei" w:hAnsi="黑体;SimHei" w:cs="黑体;SimHei" w:eastAsia="黑体;SimHei"/>
          <w:sz w:val="32"/>
          <w:szCs w:val="32"/>
        </w:rPr>
        <w:t>第二十五条</w:t>
      </w:r>
      <w:r>
        <w:rPr>
          <w:rFonts w:eastAsia="楷体_GB2312;楷体"/>
          <w:b/>
          <w:sz w:val="32"/>
          <w:szCs w:val="32"/>
        </w:rPr>
        <w:t xml:space="preserve"> </w:t>
      </w:r>
      <w:r>
        <w:rPr>
          <w:bCs/>
          <w:sz w:val="32"/>
          <w:szCs w:val="32"/>
        </w:rPr>
        <w:t xml:space="preserve"> 任何单位或者个人发现井盐历史文化资源，应当保护现场并报告当地县级文化行政主管部门。文化行政主管部门接到报告后，应当在二十四小时内赶赴现场，并在七日内提出处理意见。文化行政主管部门可以报请县级人民政府通知公安机关协助保护现场。</w:t>
      </w:r>
    </w:p>
    <w:p>
      <w:pPr>
        <w:pStyle w:val="Normal"/>
        <w:spacing w:lineRule="exact" w:line="576"/>
        <w:ind w:firstLineChars="200" w:startChars="0" w:start="0" w:endChars="0" w:end="0"/>
        <w:rPr/>
      </w:pPr>
      <w:r>
        <w:rPr>
          <w:rFonts w:ascii="黑体;SimHei" w:hAnsi="黑体;SimHei" w:cs="黑体;SimHei" w:eastAsia="黑体;SimHei"/>
          <w:sz w:val="32"/>
          <w:szCs w:val="32"/>
        </w:rPr>
        <w:t>第二十六条</w:t>
      </w:r>
      <w:r>
        <w:rPr>
          <w:rFonts w:eastAsia="楷体_GB2312;楷体"/>
          <w:b/>
          <w:sz w:val="32"/>
          <w:szCs w:val="32"/>
        </w:rPr>
        <w:t xml:space="preserve"> </w:t>
      </w:r>
      <w:r>
        <w:rPr>
          <w:bCs/>
          <w:sz w:val="32"/>
          <w:szCs w:val="32"/>
        </w:rPr>
        <w:t xml:space="preserve"> 井盐历史文化资源符合各级文物保护单位申报条件的，应当依法申报相应级别的文物保护单位；文物保护单位被撤销，但符合井盐历史文化资源认定条件的，可以依照相关程序，列入井盐历史文化资源保护名录；新发现且符合井盐历史文化资源认定条件的，可以依照相关程序，列入井盐历史文化资源保护名录。</w:t>
      </w:r>
    </w:p>
    <w:p>
      <w:pPr>
        <w:pStyle w:val="Normal"/>
        <w:spacing w:lineRule="exact" w:line="576"/>
        <w:ind w:firstLineChars="200" w:startChars="0" w:start="0" w:endChars="0" w:end="0"/>
        <w:rPr>
          <w:bCs/>
          <w:sz w:val="32"/>
          <w:szCs w:val="32"/>
        </w:rPr>
      </w:pPr>
      <w:r>
        <w:rPr>
          <w:bCs/>
          <w:sz w:val="32"/>
          <w:szCs w:val="32"/>
        </w:rPr>
      </w:r>
    </w:p>
    <w:p>
      <w:pPr>
        <w:pStyle w:val="Normal"/>
        <w:spacing w:lineRule="exact" w:line="576"/>
        <w:jc w:val="center"/>
        <w:rPr>
          <w:rFonts w:eastAsia="黑体;SimHei" w:hint="eastAsia"/>
          <w:bCs/>
          <w:sz w:val="32"/>
          <w:szCs w:val="32"/>
        </w:rPr>
      </w:pPr>
      <w:r>
        <w:rPr>
          <w:rFonts w:eastAsia="黑体;SimHei"/>
          <w:bCs/>
          <w:sz w:val="32"/>
          <w:szCs w:val="32"/>
        </w:rPr>
        <w:t>第三章  合理利用</w:t>
      </w:r>
    </w:p>
    <w:p>
      <w:pPr>
        <w:pStyle w:val="Normal"/>
        <w:spacing w:lineRule="exact" w:line="576"/>
        <w:jc w:val="center"/>
        <w:rPr>
          <w:rFonts w:eastAsia="黑体;SimHei" w:hint="eastAsia"/>
          <w:bCs/>
          <w:sz w:val="32"/>
          <w:szCs w:val="32"/>
        </w:rPr>
      </w:pPr>
      <w:r>
        <w:rPr>
          <w:rFonts w:eastAsia="黑体;SimHei" w:hint="eastAsia"/>
          <w:bCs/>
          <w:sz w:val="32"/>
          <w:szCs w:val="32"/>
        </w:rPr>
      </w:r>
    </w:p>
    <w:p>
      <w:pPr>
        <w:pStyle w:val="Normal"/>
        <w:spacing w:lineRule="exact" w:line="576"/>
        <w:ind w:firstLineChars="200" w:startChars="0" w:start="0" w:endChars="0" w:end="0"/>
        <w:rPr/>
      </w:pPr>
      <w:r>
        <w:rPr>
          <w:rFonts w:ascii="黑体;SimHei" w:hAnsi="黑体;SimHei" w:cs="黑体;SimHei" w:eastAsia="黑体;SimHei"/>
          <w:sz w:val="32"/>
          <w:szCs w:val="32"/>
        </w:rPr>
        <w:t>第二十七条</w:t>
      </w:r>
      <w:r>
        <w:rPr>
          <w:bCs/>
          <w:sz w:val="32"/>
          <w:szCs w:val="32"/>
        </w:rPr>
        <w:t xml:space="preserve">  鼓励、支持保护管理责任人合理、适度、可持续地利用井盐历史文化资源，发挥其公共文化服务和社会教育功能，传承弘扬优秀井盐历史文化。</w:t>
      </w:r>
    </w:p>
    <w:p>
      <w:pPr>
        <w:pStyle w:val="Normal"/>
        <w:spacing w:lineRule="exact" w:line="576"/>
        <w:ind w:firstLineChars="200" w:startChars="0" w:start="0" w:endChars="0" w:end="0"/>
        <w:rPr/>
      </w:pPr>
      <w:r>
        <w:rPr>
          <w:rFonts w:ascii="黑体;SimHei" w:hAnsi="黑体;SimHei" w:cs="黑体;SimHei" w:eastAsia="黑体;SimHei"/>
          <w:sz w:val="32"/>
          <w:szCs w:val="32"/>
        </w:rPr>
        <w:t>第二十八条</w:t>
      </w:r>
      <w:r>
        <w:rPr>
          <w:bCs/>
          <w:sz w:val="32"/>
          <w:szCs w:val="32"/>
        </w:rPr>
        <w:t xml:space="preserve">  利用井盐历史文化资源，应当与其历史价值、文化内涵、原有功能、内部结构相适应，不得改变井盐历史文化资源原状。</w:t>
      </w:r>
    </w:p>
    <w:p>
      <w:pPr>
        <w:pStyle w:val="Normal"/>
        <w:spacing w:lineRule="exact" w:line="576"/>
        <w:ind w:firstLineChars="200" w:startChars="0" w:start="0" w:endChars="0" w:end="0"/>
        <w:rPr>
          <w:bCs/>
          <w:sz w:val="32"/>
          <w:szCs w:val="32"/>
        </w:rPr>
      </w:pPr>
      <w:r>
        <w:rPr>
          <w:bCs/>
          <w:sz w:val="32"/>
          <w:szCs w:val="32"/>
        </w:rPr>
        <w:t>列入井盐历史文化资源保护名录的国有纪念建筑物、古建筑，除可以建立博物馆、陈列馆、纪念馆、保管所或者辟为参观游览场所外，作其他用途的，应当报告县级文化行政主管部门。</w:t>
      </w:r>
    </w:p>
    <w:p>
      <w:pPr>
        <w:pStyle w:val="Normal"/>
        <w:spacing w:lineRule="exact" w:line="576"/>
        <w:ind w:firstLineChars="200" w:startChars="0" w:start="0" w:endChars="0" w:end="0"/>
        <w:rPr>
          <w:bCs/>
          <w:sz w:val="32"/>
          <w:szCs w:val="32"/>
        </w:rPr>
      </w:pPr>
      <w:r>
        <w:rPr>
          <w:bCs/>
          <w:sz w:val="32"/>
          <w:szCs w:val="32"/>
        </w:rPr>
        <w:t>民间井盐历史文化资源利用方案，应报县级文化行政主管部门备案。</w:t>
      </w:r>
    </w:p>
    <w:p>
      <w:pPr>
        <w:pStyle w:val="Normal"/>
        <w:spacing w:lineRule="exact" w:line="576"/>
        <w:ind w:firstLineChars="200" w:startChars="0" w:start="0" w:endChars="0" w:end="0"/>
        <w:rPr/>
      </w:pPr>
      <w:r>
        <w:rPr>
          <w:rFonts w:ascii="黑体;SimHei" w:hAnsi="黑体;SimHei" w:cs="黑体;SimHei" w:eastAsia="黑体;SimHei"/>
          <w:sz w:val="32"/>
          <w:szCs w:val="32"/>
        </w:rPr>
        <w:t>第二十九条</w:t>
      </w:r>
      <w:r>
        <w:rPr>
          <w:bCs/>
          <w:sz w:val="32"/>
          <w:szCs w:val="32"/>
        </w:rPr>
        <w:t xml:space="preserve">  市、县级旅游主管部门可以挖掘整合井盐历史文化旅游资源，发展井盐文化旅游产业。鼓励旅游企业、景区景点推出具有井盐历史文化特色的旅游项目。市、县级有关部门在批准涉及井盐历史文化的旅游项目时，应当征求同级文化行政主管部门意见。</w:t>
      </w:r>
    </w:p>
    <w:p>
      <w:pPr>
        <w:pStyle w:val="Normal"/>
        <w:spacing w:lineRule="exact" w:line="576"/>
        <w:ind w:firstLineChars="200" w:startChars="0" w:start="0" w:endChars="0" w:end="0"/>
        <w:rPr>
          <w:bCs/>
          <w:sz w:val="32"/>
          <w:szCs w:val="32"/>
        </w:rPr>
      </w:pPr>
      <w:r>
        <w:rPr>
          <w:bCs/>
          <w:sz w:val="32"/>
          <w:szCs w:val="32"/>
        </w:rPr>
      </w:r>
    </w:p>
    <w:p>
      <w:pPr>
        <w:pStyle w:val="Normal"/>
        <w:spacing w:lineRule="exact" w:line="576"/>
        <w:jc w:val="center"/>
        <w:rPr>
          <w:rFonts w:eastAsia="黑体;SimHei" w:hint="eastAsia"/>
          <w:bCs/>
          <w:sz w:val="32"/>
          <w:szCs w:val="32"/>
        </w:rPr>
      </w:pPr>
      <w:r>
        <w:rPr>
          <w:rFonts w:eastAsia="黑体;SimHei"/>
          <w:bCs/>
          <w:sz w:val="32"/>
          <w:szCs w:val="32"/>
        </w:rPr>
        <w:t>第四章  法律责任</w:t>
      </w:r>
    </w:p>
    <w:p>
      <w:pPr>
        <w:pStyle w:val="Normal"/>
        <w:spacing w:lineRule="exact" w:line="576"/>
        <w:jc w:val="center"/>
        <w:rPr>
          <w:rFonts w:eastAsia="黑体;SimHei" w:hint="eastAsia"/>
          <w:bCs/>
          <w:sz w:val="32"/>
          <w:szCs w:val="32"/>
        </w:rPr>
      </w:pPr>
      <w:r>
        <w:rPr>
          <w:rFonts w:eastAsia="黑体;SimHei" w:hint="eastAsia"/>
          <w:bCs/>
          <w:sz w:val="32"/>
          <w:szCs w:val="32"/>
        </w:rPr>
      </w:r>
    </w:p>
    <w:p>
      <w:pPr>
        <w:pStyle w:val="Normal"/>
        <w:spacing w:lineRule="exact" w:line="576"/>
        <w:ind w:firstLineChars="200" w:startChars="0" w:start="0" w:endChars="0" w:end="0"/>
        <w:rPr/>
      </w:pPr>
      <w:r>
        <w:rPr>
          <w:rFonts w:ascii="黑体;SimHei" w:hAnsi="黑体;SimHei" w:cs="黑体;SimHei" w:eastAsia="黑体;SimHei"/>
          <w:sz w:val="32"/>
          <w:szCs w:val="32"/>
        </w:rPr>
        <w:t>第三十条</w:t>
      </w:r>
      <w:r>
        <w:rPr>
          <w:rFonts w:eastAsia="楷体_GB2312;楷体"/>
          <w:b/>
          <w:sz w:val="32"/>
          <w:szCs w:val="32"/>
        </w:rPr>
        <w:t xml:space="preserve"> </w:t>
      </w:r>
      <w:r>
        <w:rPr>
          <w:bCs/>
          <w:sz w:val="32"/>
          <w:szCs w:val="32"/>
        </w:rPr>
        <w:t xml:space="preserve"> 违反本条例规定的行为，法律、法规另有法律责任规定的，从其规定。</w:t>
      </w:r>
    </w:p>
    <w:p>
      <w:pPr>
        <w:pStyle w:val="Normal"/>
        <w:spacing w:lineRule="exact" w:line="576"/>
        <w:ind w:firstLineChars="200" w:startChars="0" w:start="0" w:endChars="0" w:end="0"/>
        <w:rPr/>
      </w:pPr>
      <w:r>
        <w:rPr>
          <w:rFonts w:ascii="黑体;SimHei" w:hAnsi="黑体;SimHei" w:cs="黑体;SimHei" w:eastAsia="黑体;SimHei"/>
          <w:sz w:val="32"/>
          <w:szCs w:val="32"/>
        </w:rPr>
        <w:t>第三十一条</w:t>
      </w:r>
      <w:r>
        <w:rPr>
          <w:bCs/>
          <w:sz w:val="32"/>
          <w:szCs w:val="32"/>
        </w:rPr>
        <w:t xml:space="preserve">  违反本条例规定，有下列情形之一的，对负有监督管理直接责任的主管人员和其他责任人员依法给予处理：</w:t>
      </w:r>
    </w:p>
    <w:p>
      <w:pPr>
        <w:pStyle w:val="Normal"/>
        <w:spacing w:lineRule="exact" w:line="576"/>
        <w:ind w:firstLineChars="200" w:startChars="0" w:start="0" w:endChars="0" w:end="0"/>
        <w:rPr>
          <w:bCs/>
          <w:sz w:val="32"/>
          <w:szCs w:val="32"/>
        </w:rPr>
      </w:pPr>
      <w:r>
        <w:rPr>
          <w:bCs/>
          <w:sz w:val="32"/>
          <w:szCs w:val="32"/>
        </w:rPr>
        <w:t>（一）滥用职权、不履行职责或者发现违法行为不予查处的；</w:t>
      </w:r>
    </w:p>
    <w:p>
      <w:pPr>
        <w:pStyle w:val="Normal"/>
        <w:spacing w:lineRule="exact" w:line="576"/>
        <w:ind w:firstLineChars="200" w:startChars="0" w:start="0" w:endChars="0" w:end="0"/>
        <w:rPr>
          <w:bCs/>
          <w:sz w:val="32"/>
          <w:szCs w:val="32"/>
        </w:rPr>
      </w:pPr>
      <w:r>
        <w:rPr>
          <w:bCs/>
          <w:sz w:val="32"/>
          <w:szCs w:val="32"/>
        </w:rPr>
        <w:t>（二）未按照规定划定保护范围，设立保护标识、作出标识说明，建立记录档案、管理制度的；</w:t>
      </w:r>
    </w:p>
    <w:p>
      <w:pPr>
        <w:pStyle w:val="Normal"/>
        <w:spacing w:lineRule="exact" w:line="576"/>
        <w:ind w:firstLineChars="200" w:startChars="0" w:start="0" w:endChars="0" w:end="0"/>
        <w:rPr>
          <w:bCs/>
          <w:sz w:val="32"/>
          <w:szCs w:val="32"/>
        </w:rPr>
      </w:pPr>
      <w:r>
        <w:rPr>
          <w:bCs/>
          <w:sz w:val="32"/>
          <w:szCs w:val="32"/>
        </w:rPr>
        <w:t>（三）未按照普查工作技术规范开展普查工作，造成普查资料遗失或者伪造、篡改普查资料的；</w:t>
      </w:r>
    </w:p>
    <w:p>
      <w:pPr>
        <w:pStyle w:val="Normal"/>
        <w:spacing w:lineRule="exact" w:line="576"/>
        <w:ind w:firstLineChars="200" w:startChars="0" w:start="0" w:endChars="0" w:end="0"/>
        <w:rPr>
          <w:bCs/>
          <w:sz w:val="32"/>
          <w:szCs w:val="32"/>
        </w:rPr>
      </w:pPr>
      <w:r>
        <w:rPr>
          <w:bCs/>
          <w:sz w:val="32"/>
          <w:szCs w:val="32"/>
        </w:rPr>
        <w:t>（四）因工作失职造成井盐历史文化资源损毁或者严重破坏的；</w:t>
      </w:r>
    </w:p>
    <w:p>
      <w:pPr>
        <w:pStyle w:val="Normal"/>
        <w:spacing w:lineRule="exact" w:line="576"/>
        <w:ind w:firstLineChars="200" w:startChars="0" w:start="0" w:endChars="0" w:end="0"/>
        <w:rPr>
          <w:bCs/>
          <w:sz w:val="32"/>
          <w:szCs w:val="32"/>
        </w:rPr>
      </w:pPr>
      <w:r>
        <w:rPr>
          <w:bCs/>
          <w:sz w:val="32"/>
          <w:szCs w:val="32"/>
        </w:rPr>
        <w:t>（五）贪污、挪用保护费用的。</w:t>
      </w:r>
    </w:p>
    <w:p>
      <w:pPr>
        <w:pStyle w:val="Normal"/>
        <w:spacing w:lineRule="exact" w:line="576"/>
        <w:ind w:firstLineChars="200" w:startChars="0" w:start="0" w:endChars="0" w:end="0"/>
        <w:rPr/>
      </w:pPr>
      <w:r>
        <w:rPr>
          <w:rFonts w:ascii="黑体;SimHei" w:hAnsi="黑体;SimHei" w:cs="黑体;SimHei" w:eastAsia="黑体;SimHei"/>
          <w:sz w:val="32"/>
          <w:szCs w:val="32"/>
        </w:rPr>
        <w:t>第三十二条</w:t>
      </w:r>
      <w:r>
        <w:rPr>
          <w:bCs/>
          <w:sz w:val="32"/>
          <w:szCs w:val="32"/>
        </w:rPr>
        <w:t xml:space="preserve">  违反本条例规定，保护管理责任人有下列情形之一的，由文化行政主管部门责令改正：</w:t>
      </w:r>
    </w:p>
    <w:p>
      <w:pPr>
        <w:pStyle w:val="Normal"/>
        <w:spacing w:lineRule="exact" w:line="576"/>
        <w:ind w:firstLineChars="200" w:startChars="0" w:start="0" w:endChars="0" w:end="0"/>
        <w:rPr>
          <w:bCs/>
          <w:sz w:val="32"/>
          <w:szCs w:val="32"/>
        </w:rPr>
      </w:pPr>
      <w:r>
        <w:rPr>
          <w:bCs/>
          <w:sz w:val="32"/>
          <w:szCs w:val="32"/>
        </w:rPr>
        <w:t>（一）未按照规定建立井盐历史文化资源管理制度的；</w:t>
      </w:r>
    </w:p>
    <w:p>
      <w:pPr>
        <w:pStyle w:val="Normal"/>
        <w:spacing w:lineRule="exact" w:line="576"/>
        <w:ind w:firstLineChars="200" w:startChars="0" w:start="0" w:endChars="0" w:end="0"/>
        <w:rPr>
          <w:bCs/>
          <w:sz w:val="32"/>
          <w:szCs w:val="32"/>
        </w:rPr>
      </w:pPr>
      <w:r>
        <w:rPr>
          <w:bCs/>
          <w:sz w:val="32"/>
          <w:szCs w:val="32"/>
        </w:rPr>
        <w:t>（二）未按照规定确定专门人员负责管理的。</w:t>
      </w:r>
    </w:p>
    <w:p>
      <w:pPr>
        <w:pStyle w:val="Normal"/>
        <w:spacing w:lineRule="exact" w:line="576"/>
        <w:ind w:firstLineChars="200" w:startChars="0" w:start="0" w:endChars="0" w:end="0"/>
        <w:rPr/>
      </w:pPr>
      <w:r>
        <w:rPr>
          <w:rFonts w:ascii="黑体;SimHei" w:hAnsi="黑体;SimHei" w:cs="黑体;SimHei" w:eastAsia="黑体;SimHei"/>
          <w:sz w:val="32"/>
          <w:szCs w:val="32"/>
        </w:rPr>
        <w:t>第三十三条</w:t>
      </w:r>
      <w:r>
        <w:rPr>
          <w:bCs/>
          <w:sz w:val="32"/>
          <w:szCs w:val="32"/>
        </w:rPr>
        <w:t xml:space="preserve">  违反本条例规定，损毁井盐历史文化资源保护标识的，由公安机关给予警告，可以并处二百元以下罚款。</w:t>
      </w:r>
    </w:p>
    <w:p>
      <w:pPr>
        <w:pStyle w:val="Normal"/>
        <w:spacing w:lineRule="exact" w:line="576"/>
        <w:ind w:firstLineChars="200" w:startChars="0" w:start="0" w:endChars="0" w:end="0"/>
        <w:rPr/>
      </w:pPr>
      <w:r>
        <w:rPr>
          <w:rFonts w:ascii="黑体;SimHei" w:hAnsi="黑体;SimHei" w:cs="黑体;SimHei" w:eastAsia="黑体;SimHei"/>
          <w:sz w:val="32"/>
          <w:szCs w:val="32"/>
        </w:rPr>
        <w:t>第三十四条</w:t>
      </w:r>
      <w:r>
        <w:rPr>
          <w:bCs/>
          <w:sz w:val="32"/>
          <w:szCs w:val="32"/>
        </w:rPr>
        <w:t xml:space="preserve">  违反本条例规定，在保护范围内存放易燃、易爆、易腐蚀物品危及井盐历史文化资源安全的，由公安机关责令改正；造成安全事故，对直接负责的主管人员和其他直接责任人员依法给予处理。</w:t>
      </w:r>
    </w:p>
    <w:p>
      <w:pPr>
        <w:pStyle w:val="Normal"/>
        <w:spacing w:lineRule="exact" w:line="576"/>
        <w:ind w:firstLineChars="200" w:startChars="0" w:start="0" w:endChars="0" w:end="0"/>
        <w:rPr/>
      </w:pPr>
      <w:r>
        <w:rPr>
          <w:rFonts w:ascii="黑体;SimHei" w:hAnsi="黑体;SimHei" w:cs="黑体;SimHei" w:eastAsia="黑体;SimHei"/>
          <w:sz w:val="32"/>
          <w:szCs w:val="32"/>
        </w:rPr>
        <w:t>第三十五条</w:t>
      </w:r>
      <w:r>
        <w:rPr>
          <w:rFonts w:eastAsia="楷体_GB2312;楷体"/>
          <w:b/>
          <w:sz w:val="32"/>
          <w:szCs w:val="32"/>
        </w:rPr>
        <w:t xml:space="preserve"> </w:t>
      </w:r>
      <w:r>
        <w:rPr>
          <w:bCs/>
          <w:sz w:val="32"/>
          <w:szCs w:val="32"/>
        </w:rPr>
        <w:t xml:space="preserve"> 违反本条例规定，有下列情形之一的，由文化行政主管部门责令限期改正；对不属于不可移动文物、历史建筑的井盐历史文化资源造成严重后果的，处一万元以上五万元以下的罚款：</w:t>
      </w:r>
    </w:p>
    <w:p>
      <w:pPr>
        <w:pStyle w:val="Normal"/>
        <w:spacing w:lineRule="exact" w:line="576"/>
        <w:ind w:firstLineChars="200" w:startChars="0" w:start="0" w:endChars="0" w:end="0"/>
        <w:rPr>
          <w:bCs/>
          <w:sz w:val="32"/>
          <w:szCs w:val="32"/>
        </w:rPr>
      </w:pPr>
      <w:r>
        <w:rPr>
          <w:bCs/>
          <w:sz w:val="32"/>
          <w:szCs w:val="32"/>
        </w:rPr>
        <w:t>（一）擅自迁移、拆除井盐历史文化资源的；</w:t>
      </w:r>
    </w:p>
    <w:p>
      <w:pPr>
        <w:pStyle w:val="Normal"/>
        <w:spacing w:lineRule="exact" w:line="576"/>
        <w:ind w:firstLineChars="200" w:startChars="0" w:start="0" w:endChars="0" w:end="0"/>
        <w:rPr>
          <w:bCs/>
          <w:sz w:val="32"/>
          <w:szCs w:val="32"/>
        </w:rPr>
      </w:pPr>
      <w:r>
        <w:rPr>
          <w:bCs/>
          <w:sz w:val="32"/>
          <w:szCs w:val="32"/>
        </w:rPr>
        <w:t>（二）擅自在井盐历史文化资源保护范围内进行建设工程或者爆破、钻探、挖掘等作业的；</w:t>
      </w:r>
    </w:p>
    <w:p>
      <w:pPr>
        <w:pStyle w:val="Normal"/>
        <w:spacing w:lineRule="exact" w:line="576"/>
        <w:ind w:firstLineChars="200" w:startChars="0" w:start="0" w:endChars="0" w:end="0"/>
        <w:rPr>
          <w:bCs/>
          <w:sz w:val="32"/>
          <w:szCs w:val="32"/>
        </w:rPr>
      </w:pPr>
      <w:r>
        <w:rPr>
          <w:bCs/>
          <w:sz w:val="32"/>
          <w:szCs w:val="32"/>
        </w:rPr>
        <w:t>（三）擅自修缮井盐历史文化资源，明显改变原状的；</w:t>
      </w:r>
    </w:p>
    <w:p>
      <w:pPr>
        <w:pStyle w:val="Normal"/>
        <w:spacing w:lineRule="exact" w:line="576"/>
        <w:ind w:firstLineChars="200" w:startChars="0" w:start="0" w:endChars="0" w:end="0"/>
        <w:rPr>
          <w:bCs/>
          <w:sz w:val="32"/>
          <w:szCs w:val="32"/>
        </w:rPr>
      </w:pPr>
      <w:r>
        <w:rPr>
          <w:bCs/>
          <w:sz w:val="32"/>
          <w:szCs w:val="32"/>
        </w:rPr>
        <w:t>（四）擅自在原址重建已全部毁坏的井盐历史文化资源，造成井盐历史文化资源破坏的；</w:t>
      </w:r>
    </w:p>
    <w:p>
      <w:pPr>
        <w:pStyle w:val="Normal"/>
        <w:spacing w:lineRule="exact" w:line="576"/>
        <w:ind w:firstLineChars="200" w:startChars="0" w:start="0" w:endChars="0" w:end="0"/>
        <w:rPr>
          <w:bCs/>
          <w:sz w:val="32"/>
          <w:szCs w:val="32"/>
        </w:rPr>
      </w:pPr>
      <w:r>
        <w:rPr>
          <w:bCs/>
          <w:sz w:val="32"/>
          <w:szCs w:val="32"/>
        </w:rPr>
        <w:t>（五）施工单位未取得文物保护工程资质证书，擅自从事井盐历史文化资源修缮、迁移、重建的。</w:t>
      </w:r>
    </w:p>
    <w:p>
      <w:pPr>
        <w:pStyle w:val="Normal"/>
        <w:spacing w:lineRule="exact" w:line="576"/>
        <w:ind w:firstLineChars="200" w:startChars="0" w:start="0" w:endChars="0" w:end="0"/>
        <w:rPr>
          <w:bCs/>
          <w:sz w:val="32"/>
          <w:szCs w:val="32"/>
        </w:rPr>
      </w:pPr>
      <w:r>
        <w:rPr>
          <w:bCs/>
          <w:sz w:val="32"/>
          <w:szCs w:val="32"/>
        </w:rPr>
      </w:r>
    </w:p>
    <w:p>
      <w:pPr>
        <w:pStyle w:val="Normal"/>
        <w:spacing w:lineRule="exact" w:line="576"/>
        <w:jc w:val="center"/>
        <w:rPr>
          <w:rFonts w:eastAsia="黑体;SimHei" w:hint="eastAsia"/>
          <w:bCs/>
          <w:sz w:val="32"/>
          <w:szCs w:val="32"/>
        </w:rPr>
      </w:pPr>
      <w:r>
        <w:rPr>
          <w:rFonts w:eastAsia="黑体;SimHei"/>
          <w:bCs/>
          <w:sz w:val="32"/>
          <w:szCs w:val="32"/>
        </w:rPr>
        <w:t>第五章  附  则</w:t>
      </w:r>
    </w:p>
    <w:p>
      <w:pPr>
        <w:pStyle w:val="Normal"/>
        <w:spacing w:lineRule="exact" w:line="576"/>
        <w:jc w:val="center"/>
        <w:rPr>
          <w:rFonts w:eastAsia="黑体;SimHei" w:hint="eastAsia"/>
          <w:bCs/>
          <w:sz w:val="32"/>
          <w:szCs w:val="32"/>
        </w:rPr>
      </w:pPr>
      <w:r>
        <w:rPr>
          <w:rFonts w:eastAsia="黑体;SimHei" w:hint="eastAsia"/>
          <w:bCs/>
          <w:sz w:val="32"/>
          <w:szCs w:val="32"/>
        </w:rPr>
      </w:r>
    </w:p>
    <w:p>
      <w:pPr>
        <w:pStyle w:val="Normal"/>
        <w:spacing w:lineRule="exact" w:line="576"/>
        <w:ind w:firstLineChars="200" w:startChars="0" w:start="0" w:endChars="0" w:end="0"/>
        <w:rPr/>
      </w:pPr>
      <w:r>
        <w:rPr>
          <w:rFonts w:ascii="黑体;SimHei" w:hAnsi="黑体;SimHei" w:cs="黑体;SimHei" w:eastAsia="黑体;SimHei"/>
          <w:sz w:val="32"/>
          <w:szCs w:val="32"/>
        </w:rPr>
        <w:t>第三十六条</w:t>
      </w:r>
      <w:r>
        <w:rPr>
          <w:rFonts w:eastAsia="楷体_GB2312;楷体"/>
          <w:b/>
          <w:sz w:val="32"/>
          <w:szCs w:val="32"/>
        </w:rPr>
        <w:t xml:space="preserve"> </w:t>
      </w:r>
      <w:r>
        <w:rPr>
          <w:bCs/>
          <w:sz w:val="32"/>
          <w:szCs w:val="32"/>
        </w:rPr>
        <w:t xml:space="preserve"> 本条例自</w:t>
      </w:r>
      <w:r>
        <w:rPr>
          <w:bCs/>
          <w:sz w:val="32"/>
          <w:szCs w:val="32"/>
        </w:rPr>
        <w:t>2019</w:t>
      </w:r>
      <w:r>
        <w:rPr>
          <w:bCs/>
          <w:sz w:val="32"/>
          <w:szCs w:val="32"/>
        </w:rPr>
        <w:t>年</w:t>
      </w:r>
      <w:r>
        <w:rPr>
          <w:bCs/>
          <w:sz w:val="32"/>
          <w:szCs w:val="32"/>
        </w:rPr>
        <w:t>3</w:t>
      </w:r>
      <w:r>
        <w:rPr>
          <w:bCs/>
          <w:sz w:val="32"/>
          <w:szCs w:val="32"/>
        </w:rPr>
        <w:t>月</w:t>
      </w:r>
      <w:r>
        <w:rPr>
          <w:bCs/>
          <w:sz w:val="32"/>
          <w:szCs w:val="32"/>
        </w:rPr>
        <w:t>1</w:t>
      </w:r>
      <w:r>
        <w:rPr>
          <w:bCs/>
          <w:sz w:val="32"/>
          <w:szCs w:val="32"/>
        </w:rPr>
        <w:t>日起施行。</w:t>
      </w:r>
    </w:p>
    <w:sectPr>
      <w:headerReference w:type="default" r:id="rId2"/>
      <w:footerReference w:type="default" r:id="rId3"/>
      <w:type w:val="nextPage"/>
      <w:pgSz w:w="11906" w:h="16838"/>
      <w:pgMar w:left="1588" w:right="1588" w:gutter="0" w:header="851" w:top="2098" w:footer="510" w:bottom="1814"/>
      <w:pgNumType w:fmt="decimal"/>
      <w:formProt w:val="false"/>
      <w:textDirection w:val="lrTb"/>
      <w:docGrid w:type="lines" w:linePitch="45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altName w:val="仿宋"/>
    <w:charset w:val="86"/>
    <w:family w:val="modern"/>
    <w:pitch w:val="default"/>
  </w:font>
  <w:font w:name="宋体">
    <w:altName w:val="SimSun"/>
    <w:charset w:val="86"/>
    <w:family w:val="auto"/>
    <w:pitch w:val="variable"/>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5875" cy="241935"/>
              <wp:effectExtent l="0" t="0" r="0" b="0"/>
              <wp:wrapNone/>
              <wp:docPr id="1" name="Frame2"/>
              <a:graphic xmlns:a="http://schemas.openxmlformats.org/drawingml/2006/main">
                <a:graphicData uri="http://schemas.microsoft.com/office/word/2010/wordprocessingShape">
                  <wps:wsp>
                    <wps:cNvSpPr txBox="1"/>
                    <wps:spPr>
                      <a:xfrm>
                        <a:off x="0" y="0"/>
                        <a:ext cx="15875" cy="241935"/>
                      </a:xfrm>
                      <a:prstGeom prst="rect"/>
                      <a:solidFill>
                        <a:srgbClr val="FFFFFF">
                          <a:alpha val="0"/>
                        </a:srgbClr>
                      </a:solidFill>
                    </wps:spPr>
                    <wps:txbx>
                      <w:txbxContent>
                        <w:p>
                          <w:pPr>
                            <w:pStyle w:val="Normal"/>
                            <w:rPr/>
                          </w:pPr>
                          <w:r>
                            <w:rPr/>
                          </w:r>
                        </w:p>
                      </w:txbxContent>
                    </wps:txbx>
                    <wps:bodyPr anchor="t" lIns="635" tIns="635" rIns="635" bIns="635">
                      <a:spAutoFit/>
                    </wps:bodyPr>
                  </wps:wsp>
                </a:graphicData>
              </a:graphic>
            </wp:anchor>
          </w:drawing>
        </mc:Choice>
        <mc:Fallback>
          <w:pict>
            <v:rect fillcolor="#FFFFFF" style="position:absolute;rotation:-0;width:1.25pt;height:19.0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rPr/>
                    </w:pPr>
                    <w:r>
                      <w:rPr/>
                    </w:r>
                  </w:p>
                </w:txbxContent>
              </v:textbox>
              <w10:wrap type="none"/>
            </v:rect>
          </w:pict>
        </mc:Fallback>
      </mc:AlternateContent>
    </w:r>
    <w:r>
      <mc:AlternateContent>
        <mc:Choice Requires="wps">
          <w:drawing>
            <wp:anchor distT="0" distB="0" distL="114935" distR="0" simplePos="0" relativeHeight="21" behindDoc="1" locked="0" layoutInCell="0" allowOverlap="1">
              <wp:simplePos x="0" y="0"/>
              <wp:positionH relativeFrom="margin">
                <wp:align>outside</wp:align>
              </wp:positionH>
              <wp:positionV relativeFrom="paragraph">
                <wp:posOffset>635</wp:posOffset>
              </wp:positionV>
              <wp:extent cx="662305" cy="303530"/>
              <wp:effectExtent l="0" t="0" r="0" b="0"/>
              <wp:wrapNone/>
              <wp:docPr id="2" name="Frame1"/>
              <a:graphic xmlns:a="http://schemas.openxmlformats.org/drawingml/2006/main">
                <a:graphicData uri="http://schemas.microsoft.com/office/word/2010/wordprocessingShape">
                  <wps:wsp>
                    <wps:cNvSpPr txBox="1"/>
                    <wps:spPr>
                      <a:xfrm>
                        <a:off x="0" y="0"/>
                        <a:ext cx="662305" cy="303530"/>
                      </a:xfrm>
                      <a:prstGeom prst="rect"/>
                      <a:solidFill>
                        <a:srgbClr val="FFFFFF">
                          <a:alpha val="0"/>
                        </a:srgbClr>
                      </a:solidFill>
                    </wps:spPr>
                    <wps:txbx>
                      <w:txbxContent>
                        <w:p>
                          <w:pPr>
                            <w:pStyle w:val="Footer"/>
                            <w:rPr/>
                          </w:pPr>
                          <w:r>
                            <w:rPr>
                              <w:rFonts w:eastAsia="宋体;SimSun" w:cs="宋体;SimSun"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10</w:t>
                          </w:r>
                          <w:r>
                            <w:rPr>
                              <w:rFonts w:eastAsia="宋体;SimSun" w:cs="宋体;SimSun" w:ascii="宋体;SimSun" w:hAnsi="宋体;SimSun"/>
                              <w:sz w:val="28"/>
                              <w:szCs w:val="28"/>
                            </w:rPr>
                            <w:fldChar w:fldCharType="end"/>
                          </w:r>
                          <w:r>
                            <w:rPr>
                              <w:rFonts w:eastAsia="宋体;SimSun" w:cs="宋体;SimSun" w:ascii="宋体;SimSun" w:hAnsi="宋体;SimSu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2.15pt;height:23.9pt;mso-wrap-distance-left:9.05pt;mso-wrap-distance-right:0pt;mso-wrap-distance-top:0pt;mso-wrap-distance-bottom:0pt;margin-top:0pt;mso-position-vertical-relative:text;margin-left:19.35pt;mso-position-horizontal:outside;mso-position-horizontal-relative:margin">
              <v:fill opacity="0f"/>
              <v:textbox inset="0.000694444444444445in,0.000694444444444445in,0.000694444444444445in,0.000694444444444445in">
                <w:txbxContent>
                  <w:p>
                    <w:pPr>
                      <w:pStyle w:val="Footer"/>
                      <w:rPr/>
                    </w:pPr>
                    <w:r>
                      <w:rPr>
                        <w:rFonts w:eastAsia="宋体;SimSun" w:cs="宋体;SimSun"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10</w:t>
                    </w:r>
                    <w:r>
                      <w:rPr>
                        <w:rFonts w:eastAsia="宋体;SimSun" w:cs="宋体;SimSun" w:ascii="宋体;SimSun" w:hAnsi="宋体;SimSun"/>
                        <w:sz w:val="28"/>
                        <w:szCs w:val="28"/>
                      </w:rPr>
                      <w:fldChar w:fldCharType="end"/>
                    </w:r>
                    <w:r>
                      <w:rPr>
                        <w:rFonts w:eastAsia="宋体;SimSun" w:cs="宋体;SimSun" w:ascii="宋体;SimSun" w:hAnsi="宋体;SimSun"/>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spacing w:val="3"/>
      <w:kern w:val="2"/>
      <w:sz w:val="33"/>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Style13">
    <w:name w:val="默认段落字体"/>
    <w:qFormat/>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pBdr>
        <w:bottom w:val="single" w:sz="4" w:space="31" w:color="FFFFFF"/>
      </w:pBdr>
      <w:spacing w:lineRule="exact" w:line="600"/>
      <w:ind w:firstLineChars="197" w:startChars="0" w:start="0" w:endChars="0" w:end="0"/>
    </w:pPr>
    <w:rPr>
      <w:rFonts w:ascii="仿宋_GB2312;仿宋" w:hAnsi="仿宋_GB2312;仿宋" w:eastAsia="仿宋_GB2312;仿宋"/>
      <w:color w:val="000000"/>
      <w:sz w:val="36"/>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普通(网站)"/>
    <w:basedOn w:val="Normal"/>
    <w:qFormat/>
    <w:pPr>
      <w:widowControl/>
      <w:spacing w:before="280" w:after="280"/>
      <w:jc w:val="start"/>
    </w:pPr>
    <w:rPr>
      <w:rFonts w:ascii="宋体;SimSun" w:hAnsi="宋体;SimSun" w:cs="宋体;SimSun"/>
      <w:color w:val="000000"/>
      <w:spacing w:val="0"/>
      <w:kern w:val="0"/>
      <w:sz w:val="24"/>
    </w:rPr>
  </w:style>
  <w:style w:type="paragraph" w:styleId="Style15">
    <w:name w:val="日期"/>
    <w:basedOn w:val="Normal"/>
    <w:next w:val="Normal"/>
    <w:qFormat/>
    <w:pPr>
      <w:ind w:firstLineChars="0" w:firstLine="0" w:startChars="2500" w:endChars="0" w:end="0"/>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批注框文本"/>
    <w:basedOn w:val="Normal"/>
    <w:qFormat/>
    <w:pPr/>
    <w:rPr>
      <w:sz w:val="18"/>
      <w:szCs w:val="18"/>
    </w:rPr>
  </w:style>
  <w:style w:type="paragraph" w:styleId="Style17">
    <w:name w:val="纯文本"/>
    <w:basedOn w:val="Normal"/>
    <w:qFormat/>
    <w:pPr/>
    <w:rPr>
      <w:rFonts w:ascii="宋体;SimSun" w:hAnsi="宋体;SimSun" w:eastAsia="宋体;SimSun" w:cs="Courier New"/>
      <w:spacing w:val="0"/>
      <w:sz w:val="21"/>
      <w:szCs w:val="21"/>
    </w:rPr>
  </w:style>
  <w:style w:type="paragraph" w:styleId="111">
    <w:name w:val="正文111"/>
    <w:basedOn w:val="Heading1"/>
    <w:qFormat/>
    <w:pPr>
      <w:numPr>
        <w:ilvl w:val="0"/>
        <w:numId w:val="0"/>
      </w:numPr>
      <w:spacing w:lineRule="exact" w:line="520" w:before="0" w:after="0"/>
      <w:outlineLvl w:val="9"/>
    </w:pPr>
    <w:rPr>
      <w:b w:val="false"/>
      <w:sz w:val="32"/>
      <w:szCs w:val="32"/>
    </w:rPr>
  </w:style>
  <w:style w:type="paragraph" w:styleId="ListParagraph">
    <w:name w:val="List Paragraph"/>
    <w:basedOn w:val="Normal"/>
    <w:qFormat/>
    <w:pPr>
      <w:ind w:firstLineChars="200" w:startChars="0" w:start="0" w:endChars="0" w:end="0"/>
    </w:pPr>
    <w:rPr>
      <w:rFonts w:eastAsia="仿宋_GB2312;仿宋"/>
      <w:sz w:val="32"/>
      <w:szCs w:val="32"/>
    </w:rPr>
  </w:style>
  <w:style w:type="paragraph" w:styleId="123">
    <w:name w:val="正文123"/>
    <w:basedOn w:val="Normal"/>
    <w:qFormat/>
    <w:pPr>
      <w:spacing w:lineRule="exact" w:line="520"/>
    </w:pPr>
    <w:rPr>
      <w:b/>
      <w:sz w:val="32"/>
    </w:rPr>
  </w:style>
  <w:style w:type="paragraph" w:styleId="1">
    <w:name w:val="标题1"/>
    <w:basedOn w:val="Normal"/>
    <w:next w:val="123"/>
    <w:qFormat/>
    <w:pPr>
      <w:spacing w:lineRule="exact" w:line="520"/>
      <w:jc w:val="center"/>
    </w:pPr>
    <w:rPr>
      <w:rFonts w:eastAsia="方正小标宋简体"/>
      <w:b/>
      <w:sz w:val="36"/>
    </w:rPr>
  </w:style>
  <w:style w:type="paragraph" w:styleId="p0">
    <w:name w:val="p0"/>
    <w:basedOn w:val="Normal"/>
    <w:qFormat/>
    <w:pPr>
      <w:widowControl/>
    </w:pPr>
    <w:rPr>
      <w:rFonts w:eastAsia="宋体;SimSun"/>
      <w:spacing w:val="0"/>
      <w:kern w:val="0"/>
      <w:sz w:val="21"/>
      <w:szCs w:val="21"/>
    </w:rPr>
  </w:style>
  <w:style w:type="paragraph" w:styleId="3">
    <w:name w:val="样式3"/>
    <w:basedOn w:val="Normal"/>
    <w:next w:val="11"/>
    <w:qFormat/>
    <w:pPr>
      <w:spacing w:lineRule="exact" w:line="520"/>
      <w:jc w:val="center"/>
    </w:pPr>
    <w:rPr>
      <w:rFonts w:eastAsia="方正小标宋简体"/>
      <w:b/>
      <w:sz w:val="36"/>
      <w:szCs w:val="20"/>
    </w:rPr>
  </w:style>
  <w:style w:type="paragraph" w:styleId="11">
    <w:name w:val="正文11"/>
    <w:basedOn w:val="Normal"/>
    <w:qFormat/>
    <w:pPr>
      <w:spacing w:lineRule="exact" w:line="520"/>
      <w:jc w:val="center"/>
    </w:pPr>
    <w:rPr>
      <w:sz w:val="32"/>
      <w:szCs w:val="3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2018-12-14T11:51:00Z</dcterms:created>
  <dc:creator>微软用户</dc:creator>
  <dc:description/>
  <cp:keywords/>
  <dc:language>en-US</dc:language>
  <cp:lastModifiedBy>scpcadmin</cp:lastModifiedBy>
  <cp:lastPrinted>2018-12-18T10:53:00Z</cp:lastPrinted>
  <dcterms:modified xsi:type="dcterms:W3CDTF">2018-12-27T16:26:00Z</dcterms:modified>
  <cp:revision>6</cp:revision>
  <dc:subject/>
  <dc:title>自贡市人大常委会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2052-10.1.0.7670</vt:lpwstr>
  </property>
</Properties>
</file>