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6"/>
        <w:jc w:val="center"/>
        <w:rPr>
          <w:rFonts w:eastAsia="方正小标宋简体" w:hint="eastAsia"/>
          <w:sz w:val="44"/>
          <w:szCs w:val="44"/>
        </w:rPr>
      </w:pPr>
      <w:r>
        <w:rPr>
          <w:rFonts w:eastAsia="方正小标宋简体" w:hint="eastAsia"/>
          <w:sz w:val="44"/>
          <w:szCs w:val="44"/>
        </w:rPr>
      </w:r>
    </w:p>
    <w:p>
      <w:pPr>
        <w:pStyle w:val="Normal"/>
        <w:spacing w:lineRule="exact" w:line="576"/>
        <w:jc w:val="center"/>
        <w:rPr>
          <w:rFonts w:eastAsia="方正小标宋简体" w:hint="eastAsia"/>
          <w:sz w:val="44"/>
          <w:szCs w:val="44"/>
        </w:rPr>
      </w:pPr>
      <w:r>
        <w:rPr>
          <w:rFonts w:eastAsia="方正小标宋简体" w:hint="eastAsia"/>
          <w:sz w:val="44"/>
          <w:szCs w:val="44"/>
        </w:rPr>
      </w:r>
    </w:p>
    <w:p>
      <w:pPr>
        <w:pStyle w:val="Normal"/>
        <w:numPr>
          <w:ilvl w:val="0"/>
          <w:numId w:val="0"/>
        </w:numPr>
        <w:spacing w:lineRule="exact" w:line="576"/>
        <w:jc w:val="center"/>
        <w:outlineLvl w:val="0"/>
        <w:rPr/>
      </w:pPr>
      <w:r>
        <w:rPr>
          <w:rFonts w:ascii="宋体;SimSun" w:hAnsi="宋体;SimSun" w:cs="宋体;SimSun" w:eastAsia="宋体;SimSun"/>
          <w:bCs/>
          <w:color w:val="000000"/>
          <w:kern w:val="2"/>
          <w:sz w:val="44"/>
          <w:szCs w:val="44"/>
        </w:rPr>
        <w:t>泸州市</w:t>
      </w:r>
      <w:r>
        <w:rPr>
          <w:rFonts w:ascii="宋体;SimSun" w:hAnsi="宋体;SimSun" w:cs="宋体;SimSun" w:hint="eastAsia" w:eastAsia="宋体;SimSun"/>
          <w:bCs/>
          <w:color w:val="000000"/>
          <w:kern w:val="2"/>
          <w:sz w:val="44"/>
          <w:szCs w:val="44"/>
        </w:rPr>
        <w:t>生活垃圾分类管理</w:t>
      </w:r>
      <w:r>
        <w:rPr>
          <w:rFonts w:ascii="宋体;SimSun" w:hAnsi="宋体;SimSun" w:cs="宋体;SimSun" w:eastAsia="宋体;SimSun"/>
          <w:bCs/>
          <w:color w:val="000000"/>
          <w:kern w:val="2"/>
          <w:sz w:val="44"/>
          <w:szCs w:val="44"/>
        </w:rPr>
        <w:t>条例</w:t>
      </w:r>
    </w:p>
    <w:p>
      <w:pPr>
        <w:pStyle w:val="Normal"/>
        <w:widowControl/>
        <w:spacing w:lineRule="exact" w:line="576"/>
        <w:ind w:firstLineChars="0" w:firstLine="0" w:startChars="300" w:endChars="300"/>
        <w:rPr>
          <w:rFonts w:ascii="楷体_GB2312;楷体" w:hAnsi="楷体_GB2312;楷体" w:eastAsia="楷体_GB2312;楷体" w:cs="Calibri" w:hint="eastAsia"/>
          <w:bCs/>
          <w:color w:val="000000"/>
          <w:kern w:val="2"/>
          <w:sz w:val="44"/>
          <w:szCs w:val="44"/>
        </w:rPr>
      </w:pPr>
      <w:r>
        <w:rPr>
          <w:rFonts w:eastAsia="楷体_GB2312;楷体" w:cs="Calibri" w:hint="eastAsia" w:ascii="楷体_GB2312;楷体" w:hAnsi="楷体_GB2312;楷体"/>
          <w:bCs/>
          <w:color w:val="000000"/>
          <w:kern w:val="2"/>
          <w:sz w:val="44"/>
          <w:szCs w:val="44"/>
        </w:rPr>
      </w:r>
    </w:p>
    <w:p>
      <w:pPr>
        <w:pStyle w:val="Normal"/>
        <w:widowControl/>
        <w:spacing w:lineRule="exact" w:line="576"/>
        <w:ind w:firstLineChars="0" w:firstLine="0" w:startChars="300" w:endChars="300"/>
        <w:rPr>
          <w:rFonts w:ascii="楷体_GB2312;楷体" w:hAnsi="楷体_GB2312;楷体" w:eastAsia="楷体_GB2312;楷体" w:cs="Calibri"/>
          <w:bCs/>
        </w:rPr>
      </w:pPr>
      <w:r>
        <w:rPr>
          <w:rFonts w:ascii="楷体_GB2312;楷体" w:hAnsi="楷体_GB2312;楷体" w:cs="Calibri" w:hint="eastAsia" w:eastAsia="楷体_GB2312;楷体"/>
          <w:bCs/>
        </w:rPr>
        <w:t>（</w:t>
      </w:r>
      <w:r>
        <w:rPr>
          <w:rFonts w:eastAsia="楷体_GB2312;楷体" w:cs="Calibri" w:ascii="楷体_GB2312;楷体" w:hAnsi="楷体_GB2312;楷体"/>
          <w:bCs/>
        </w:rPr>
        <w:t>20</w:t>
      </w:r>
      <w:r>
        <w:rPr>
          <w:rFonts w:eastAsia="楷体_GB2312;楷体" w:cs="Calibri" w:hint="eastAsia" w:ascii="楷体_GB2312;楷体" w:hAnsi="楷体_GB2312;楷体"/>
          <w:bCs/>
        </w:rPr>
        <w:t>22</w:t>
      </w:r>
      <w:r>
        <w:rPr>
          <w:rFonts w:ascii="楷体_GB2312;楷体" w:hAnsi="楷体_GB2312;楷体" w:cs="Calibri" w:eastAsia="楷体_GB2312;楷体"/>
          <w:bCs/>
        </w:rPr>
        <w:t>年</w:t>
      </w:r>
      <w:r>
        <w:rPr>
          <w:rFonts w:eastAsia="楷体_GB2312;楷体" w:cs="Calibri" w:hint="eastAsia" w:ascii="楷体_GB2312;楷体" w:hAnsi="楷体_GB2312;楷体"/>
          <w:bCs/>
        </w:rPr>
        <w:t>8</w:t>
      </w:r>
      <w:r>
        <w:rPr>
          <w:rFonts w:ascii="楷体_GB2312;楷体" w:hAnsi="楷体_GB2312;楷体" w:cs="Calibri" w:eastAsia="楷体_GB2312;楷体"/>
          <w:bCs/>
        </w:rPr>
        <w:t>月</w:t>
      </w:r>
      <w:r>
        <w:rPr>
          <w:rFonts w:eastAsia="楷体_GB2312;楷体" w:cs="Calibri" w:hint="eastAsia" w:ascii="楷体_GB2312;楷体" w:hAnsi="楷体_GB2312;楷体"/>
          <w:bCs/>
        </w:rPr>
        <w:t>31</w:t>
      </w:r>
      <w:r>
        <w:rPr>
          <w:rFonts w:ascii="楷体_GB2312;楷体" w:hAnsi="楷体_GB2312;楷体" w:cs="Calibri" w:eastAsia="楷体_GB2312;楷体"/>
          <w:bCs/>
        </w:rPr>
        <w:t>日泸州市第</w:t>
      </w:r>
      <w:r>
        <w:rPr>
          <w:rFonts w:ascii="楷体_GB2312;楷体" w:hAnsi="楷体_GB2312;楷体" w:cs="Calibri" w:hint="eastAsia" w:eastAsia="楷体_GB2312;楷体"/>
          <w:bCs/>
        </w:rPr>
        <w:t>九</w:t>
      </w:r>
      <w:r>
        <w:rPr>
          <w:rFonts w:ascii="楷体_GB2312;楷体" w:hAnsi="楷体_GB2312;楷体" w:cs="Calibri" w:eastAsia="楷体_GB2312;楷体"/>
          <w:bCs/>
        </w:rPr>
        <w:t>届人民代表大会常务委员会第</w:t>
      </w:r>
      <w:r>
        <w:rPr>
          <w:rFonts w:ascii="楷体_GB2312;楷体" w:hAnsi="楷体_GB2312;楷体" w:cs="Calibri" w:hint="eastAsia" w:eastAsia="楷体_GB2312;楷体"/>
          <w:bCs/>
        </w:rPr>
        <w:t>五</w:t>
      </w:r>
      <w:r>
        <w:rPr>
          <w:rFonts w:ascii="楷体_GB2312;楷体" w:hAnsi="楷体_GB2312;楷体" w:cs="Calibri" w:eastAsia="楷体_GB2312;楷体"/>
          <w:bCs/>
        </w:rPr>
        <w:t>次会议通过</w:t>
      </w:r>
      <w:r>
        <w:rPr>
          <w:rFonts w:ascii="楷体_GB2312;楷体" w:hAnsi="楷体_GB2312;楷体" w:cs="Calibri" w:hint="eastAsia" w:eastAsia="楷体_GB2312;楷体"/>
          <w:bCs/>
        </w:rPr>
        <w:t xml:space="preserve">  </w:t>
      </w:r>
      <w:r>
        <w:rPr>
          <w:rFonts w:eastAsia="楷体_GB2312;楷体" w:cs="Calibri" w:hint="eastAsia" w:ascii="楷体_GB2312;楷体" w:hAnsi="楷体_GB2312;楷体"/>
          <w:bCs/>
        </w:rPr>
        <w:t>2022</w:t>
      </w:r>
      <w:r>
        <w:rPr>
          <w:rFonts w:ascii="楷体_GB2312;楷体" w:hAnsi="楷体_GB2312;楷体" w:cs="Calibri" w:hint="eastAsia" w:eastAsia="楷体_GB2312;楷体"/>
          <w:bCs/>
        </w:rPr>
        <w:t>年</w:t>
      </w:r>
      <w:r>
        <w:rPr>
          <w:rFonts w:eastAsia="楷体_GB2312;楷体" w:cs="Calibri" w:hint="eastAsia" w:ascii="楷体_GB2312;楷体" w:hAnsi="楷体_GB2312;楷体"/>
          <w:bCs/>
        </w:rPr>
        <w:t>9</w:t>
      </w:r>
      <w:r>
        <w:rPr>
          <w:rFonts w:ascii="楷体_GB2312;楷体" w:hAnsi="楷体_GB2312;楷体" w:cs="Calibri" w:hint="eastAsia" w:eastAsia="楷体_GB2312;楷体"/>
          <w:bCs/>
        </w:rPr>
        <w:t>月</w:t>
      </w:r>
      <w:r>
        <w:rPr>
          <w:rFonts w:eastAsia="楷体_GB2312;楷体" w:cs="Calibri" w:hint="eastAsia" w:ascii="楷体_GB2312;楷体" w:hAnsi="楷体_GB2312;楷体"/>
          <w:bCs/>
        </w:rPr>
        <w:t>30</w:t>
      </w:r>
      <w:r>
        <w:rPr>
          <w:rFonts w:ascii="楷体_GB2312;楷体" w:hAnsi="楷体_GB2312;楷体" w:cs="Calibri" w:hint="eastAsia" w:eastAsia="楷体_GB2312;楷体"/>
          <w:bCs/>
        </w:rPr>
        <w:t>日四川省第十三届人民代表大会常务委员会第三十七次会议批准）</w:t>
      </w:r>
    </w:p>
    <w:p>
      <w:pPr>
        <w:pStyle w:val="Normal"/>
        <w:spacing w:lineRule="exact" w:line="576"/>
        <w:rPr>
          <w:rFonts w:ascii="楷体_GB2312;楷体" w:hAnsi="楷体_GB2312;楷体" w:eastAsia="方正仿宋简体" w:cs="Calibri"/>
          <w:bCs/>
          <w:color w:val="000000"/>
        </w:rPr>
      </w:pPr>
      <w:r>
        <w:rPr>
          <w:rFonts w:eastAsia="方正仿宋简体" w:cs="Calibri" w:ascii="楷体_GB2312;楷体" w:hAnsi="楷体_GB2312;楷体"/>
          <w:bCs/>
          <w:color w:val="000000"/>
        </w:rPr>
      </w:r>
    </w:p>
    <w:p>
      <w:pPr>
        <w:pStyle w:val="Normal"/>
        <w:spacing w:lineRule="exact" w:line="576"/>
        <w:ind w:firstLineChars="200" w:startChars="0" w:start="0" w:endChars="0" w:end="0"/>
        <w:jc w:val="center"/>
        <w:rPr/>
      </w:pPr>
      <w:r>
        <w:rPr>
          <w:rFonts w:ascii="楷体_GB2312;楷体" w:hAnsi="楷体_GB2312;楷体" w:cs="Calibri" w:hint="eastAsia" w:eastAsia="楷体_GB2312;楷体"/>
          <w:bCs/>
        </w:rPr>
        <w:t>目</w:t>
      </w:r>
      <w:r>
        <w:rPr>
          <w:rFonts w:ascii="楷体_GB2312;楷体" w:hAnsi="楷体_GB2312;楷体" w:cs="Calibri" w:eastAsia="楷体_GB2312;楷体"/>
          <w:bCs/>
        </w:rPr>
        <w:t xml:space="preserve">  </w:t>
      </w:r>
      <w:r>
        <w:rPr>
          <w:rFonts w:ascii="楷体_GB2312;楷体" w:hAnsi="楷体_GB2312;楷体" w:cs="Calibri" w:hint="eastAsia" w:eastAsia="楷体_GB2312;楷体"/>
          <w:bCs/>
        </w:rPr>
        <w:t>录</w:t>
      </w:r>
    </w:p>
    <w:p>
      <w:pPr>
        <w:pStyle w:val="Normal"/>
        <w:spacing w:lineRule="exact" w:line="576"/>
        <w:ind w:firstLineChars="200" w:startChars="0" w:start="0" w:endChars="0" w:end="0"/>
        <w:jc w:val="center"/>
        <w:rPr>
          <w:rFonts w:ascii="楷体_GB2312;楷体" w:hAnsi="楷体_GB2312;楷体" w:eastAsia="楷体_GB2312;楷体" w:cs="Calibri" w:hint="eastAsia"/>
          <w:bCs/>
        </w:rPr>
      </w:pPr>
      <w:r>
        <w:rPr>
          <w:rFonts w:eastAsia="楷体_GB2312;楷体" w:cs="Calibri" w:hint="eastAsia" w:ascii="楷体_GB2312;楷体" w:hAnsi="楷体_GB2312;楷体"/>
          <w:bCs/>
        </w:rPr>
      </w:r>
    </w:p>
    <w:p>
      <w:pPr>
        <w:pStyle w:val="Normal"/>
        <w:spacing w:lineRule="exact" w:line="576"/>
        <w:ind w:firstLineChars="0" w:firstLine="0" w:startChars="300" w:endChars="300"/>
        <w:rPr>
          <w:rFonts w:ascii="楷体_GB2312;楷体" w:hAnsi="楷体_GB2312;楷体" w:eastAsia="楷体_GB2312;楷体" w:cs="Calibri"/>
          <w:bCs/>
        </w:rPr>
      </w:pPr>
      <w:r>
        <w:rPr>
          <w:rFonts w:ascii="楷体_GB2312;楷体" w:hAnsi="楷体_GB2312;楷体" w:cs="Calibri" w:hint="eastAsia" w:eastAsia="楷体_GB2312;楷体"/>
          <w:bCs/>
        </w:rPr>
        <w:t>第一章</w:t>
      </w:r>
      <w:r>
        <w:rPr>
          <w:rFonts w:ascii="楷体_GB2312;楷体" w:hAnsi="楷体_GB2312;楷体" w:cs="Calibri" w:eastAsia="楷体_GB2312;楷体"/>
          <w:bCs/>
        </w:rPr>
        <w:t xml:space="preserve">  </w:t>
      </w:r>
      <w:r>
        <w:rPr>
          <w:rFonts w:ascii="楷体_GB2312;楷体" w:hAnsi="楷体_GB2312;楷体" w:cs="Calibri" w:hint="eastAsia" w:eastAsia="楷体_GB2312;楷体"/>
          <w:bCs/>
        </w:rPr>
        <w:t>总则</w:t>
      </w:r>
    </w:p>
    <w:p>
      <w:pPr>
        <w:pStyle w:val="Normal"/>
        <w:spacing w:lineRule="exact" w:line="576"/>
        <w:ind w:firstLineChars="0" w:firstLine="0" w:startChars="300" w:endChars="300"/>
        <w:rPr>
          <w:rFonts w:ascii="楷体_GB2312;楷体" w:hAnsi="楷体_GB2312;楷体" w:eastAsia="楷体_GB2312;楷体" w:cs="Calibri"/>
          <w:bCs/>
        </w:rPr>
      </w:pPr>
      <w:r>
        <w:rPr>
          <w:rFonts w:ascii="楷体_GB2312;楷体" w:hAnsi="楷体_GB2312;楷体" w:cs="Calibri" w:hint="eastAsia" w:eastAsia="楷体_GB2312;楷体"/>
          <w:bCs/>
        </w:rPr>
        <w:t>第二章</w:t>
      </w:r>
      <w:r>
        <w:rPr>
          <w:rFonts w:ascii="楷体_GB2312;楷体" w:hAnsi="楷体_GB2312;楷体" w:cs="Calibri" w:eastAsia="楷体_GB2312;楷体"/>
          <w:bCs/>
        </w:rPr>
        <w:t xml:space="preserve">  </w:t>
      </w:r>
      <w:r>
        <w:rPr>
          <w:rFonts w:ascii="楷体_GB2312;楷体" w:hAnsi="楷体_GB2312;楷体" w:cs="Calibri" w:hint="eastAsia" w:eastAsia="楷体_GB2312;楷体"/>
          <w:bCs/>
        </w:rPr>
        <w:t>分类投放</w:t>
      </w:r>
    </w:p>
    <w:p>
      <w:pPr>
        <w:pStyle w:val="Normal"/>
        <w:spacing w:lineRule="exact" w:line="576"/>
        <w:ind w:firstLineChars="0" w:firstLine="0" w:startChars="300" w:endChars="300"/>
        <w:rPr>
          <w:rFonts w:ascii="楷体_GB2312;楷体" w:hAnsi="楷体_GB2312;楷体" w:eastAsia="楷体_GB2312;楷体" w:cs="Calibri"/>
          <w:bCs/>
        </w:rPr>
      </w:pPr>
      <w:r>
        <w:rPr>
          <w:rFonts w:ascii="楷体_GB2312;楷体" w:hAnsi="楷体_GB2312;楷体" w:cs="Calibri" w:hint="eastAsia" w:eastAsia="楷体_GB2312;楷体"/>
          <w:bCs/>
        </w:rPr>
        <w:t>第三章</w:t>
      </w:r>
      <w:r>
        <w:rPr>
          <w:rFonts w:ascii="楷体_GB2312;楷体" w:hAnsi="楷体_GB2312;楷体" w:cs="Calibri" w:eastAsia="楷体_GB2312;楷体"/>
          <w:bCs/>
        </w:rPr>
        <w:t xml:space="preserve">  </w:t>
      </w:r>
      <w:r>
        <w:rPr>
          <w:rFonts w:ascii="楷体_GB2312;楷体" w:hAnsi="楷体_GB2312;楷体" w:cs="Calibri" w:hint="eastAsia" w:eastAsia="楷体_GB2312;楷体"/>
          <w:bCs/>
        </w:rPr>
        <w:t>分类收集、运输和处理</w:t>
      </w:r>
    </w:p>
    <w:p>
      <w:pPr>
        <w:pStyle w:val="Normal"/>
        <w:spacing w:lineRule="exact" w:line="576"/>
        <w:ind w:firstLineChars="0" w:firstLine="0" w:startChars="300" w:endChars="300"/>
        <w:rPr>
          <w:rFonts w:ascii="楷体_GB2312;楷体" w:hAnsi="楷体_GB2312;楷体" w:eastAsia="楷体_GB2312;楷体" w:cs="Calibri"/>
          <w:bCs/>
        </w:rPr>
      </w:pPr>
      <w:r>
        <w:rPr>
          <w:rFonts w:ascii="楷体_GB2312;楷体" w:hAnsi="楷体_GB2312;楷体" w:cs="Calibri" w:hint="eastAsia" w:eastAsia="楷体_GB2312;楷体"/>
          <w:bCs/>
        </w:rPr>
        <w:t>第四章</w:t>
      </w:r>
      <w:r>
        <w:rPr>
          <w:rFonts w:ascii="楷体_GB2312;楷体" w:hAnsi="楷体_GB2312;楷体" w:cs="Calibri" w:eastAsia="楷体_GB2312;楷体"/>
          <w:bCs/>
        </w:rPr>
        <w:t xml:space="preserve">  </w:t>
      </w:r>
      <w:r>
        <w:rPr>
          <w:rFonts w:ascii="楷体_GB2312;楷体" w:hAnsi="楷体_GB2312;楷体" w:cs="Calibri" w:hint="eastAsia" w:eastAsia="楷体_GB2312;楷体"/>
          <w:bCs/>
        </w:rPr>
        <w:t>促进与保障</w:t>
      </w:r>
    </w:p>
    <w:p>
      <w:pPr>
        <w:pStyle w:val="Normal"/>
        <w:spacing w:lineRule="exact" w:line="576"/>
        <w:ind w:firstLineChars="0" w:firstLine="0" w:startChars="300" w:endChars="300"/>
        <w:rPr>
          <w:rFonts w:ascii="楷体_GB2312;楷体" w:hAnsi="楷体_GB2312;楷体" w:eastAsia="楷体_GB2312;楷体" w:cs="Calibri"/>
          <w:bCs/>
        </w:rPr>
      </w:pPr>
      <w:r>
        <w:rPr>
          <w:rFonts w:ascii="楷体_GB2312;楷体" w:hAnsi="楷体_GB2312;楷体" w:cs="Calibri" w:hint="eastAsia" w:eastAsia="楷体_GB2312;楷体"/>
          <w:bCs/>
        </w:rPr>
        <w:t>第五章</w:t>
      </w:r>
      <w:r>
        <w:rPr>
          <w:rFonts w:ascii="楷体_GB2312;楷体" w:hAnsi="楷体_GB2312;楷体" w:cs="Calibri" w:eastAsia="楷体_GB2312;楷体"/>
          <w:bCs/>
        </w:rPr>
        <w:t xml:space="preserve">  </w:t>
      </w:r>
      <w:r>
        <w:rPr>
          <w:rFonts w:ascii="楷体_GB2312;楷体" w:hAnsi="楷体_GB2312;楷体" w:cs="Calibri" w:hint="eastAsia" w:eastAsia="楷体_GB2312;楷体"/>
          <w:bCs/>
        </w:rPr>
        <w:t>监督管理</w:t>
      </w:r>
    </w:p>
    <w:p>
      <w:pPr>
        <w:pStyle w:val="Normal"/>
        <w:spacing w:lineRule="exact" w:line="576"/>
        <w:ind w:firstLineChars="0" w:firstLine="0" w:startChars="300" w:endChars="300"/>
        <w:rPr>
          <w:rFonts w:ascii="楷体_GB2312;楷体" w:hAnsi="楷体_GB2312;楷体" w:eastAsia="楷体_GB2312;楷体" w:cs="Calibri"/>
          <w:bCs/>
        </w:rPr>
      </w:pPr>
      <w:r>
        <w:rPr>
          <w:rFonts w:ascii="楷体_GB2312;楷体" w:hAnsi="楷体_GB2312;楷体" w:cs="Calibri" w:hint="eastAsia" w:eastAsia="楷体_GB2312;楷体"/>
          <w:bCs/>
        </w:rPr>
        <w:t>第六章</w:t>
      </w:r>
      <w:r>
        <w:rPr>
          <w:rFonts w:ascii="楷体_GB2312;楷体" w:hAnsi="楷体_GB2312;楷体" w:cs="Calibri" w:eastAsia="楷体_GB2312;楷体"/>
          <w:bCs/>
        </w:rPr>
        <w:t xml:space="preserve">  </w:t>
      </w:r>
      <w:r>
        <w:rPr>
          <w:rFonts w:ascii="楷体_GB2312;楷体" w:hAnsi="楷体_GB2312;楷体" w:cs="Calibri" w:hint="eastAsia" w:eastAsia="楷体_GB2312;楷体"/>
          <w:bCs/>
        </w:rPr>
        <w:t>法律责任</w:t>
      </w:r>
    </w:p>
    <w:p>
      <w:pPr>
        <w:pStyle w:val="Normal"/>
        <w:spacing w:lineRule="exact" w:line="576"/>
        <w:ind w:firstLineChars="0" w:firstLine="0" w:startChars="300" w:endChars="300"/>
        <w:rPr>
          <w:rFonts w:ascii="楷体_GB2312;楷体" w:hAnsi="楷体_GB2312;楷体" w:eastAsia="楷体_GB2312;楷体" w:cs="Calibri"/>
          <w:bCs/>
        </w:rPr>
      </w:pPr>
      <w:r>
        <w:rPr>
          <w:rFonts w:ascii="楷体_GB2312;楷体" w:hAnsi="楷体_GB2312;楷体" w:cs="Calibri" w:hint="eastAsia" w:eastAsia="楷体_GB2312;楷体"/>
          <w:bCs/>
        </w:rPr>
        <w:t>第七章  附则</w:t>
      </w:r>
    </w:p>
    <w:p>
      <w:pPr>
        <w:pStyle w:val="Normal"/>
        <w:overflowPunct w:val="false"/>
        <w:snapToGrid w:val="false"/>
        <w:spacing w:lineRule="exact" w:line="576"/>
        <w:rPr>
          <w:rFonts w:ascii="楷体_GB2312;楷体" w:hAnsi="楷体_GB2312;楷体" w:eastAsia="楷体_GB2312;楷体" w:cs="Calibri"/>
          <w:bCs/>
        </w:rPr>
      </w:pPr>
      <w:r>
        <w:rPr>
          <w:rFonts w:eastAsia="楷体_GB2312;楷体" w:cs="Calibri" w:ascii="楷体_GB2312;楷体" w:hAnsi="楷体_GB2312;楷体"/>
          <w:bCs/>
        </w:rPr>
      </w:r>
    </w:p>
    <w:p>
      <w:pPr>
        <w:pStyle w:val="Normal"/>
        <w:widowControl/>
        <w:snapToGrid w:val="false"/>
        <w:spacing w:lineRule="exact" w:line="576"/>
        <w:jc w:val="center"/>
        <w:rPr>
          <w:rFonts w:eastAsia="黑体;SimHei" w:hint="eastAsia"/>
        </w:rPr>
      </w:pPr>
      <w:r>
        <w:rPr>
          <w:rFonts w:hint="eastAsia" w:eastAsia="黑体;SimHei"/>
        </w:rPr>
        <w:t>第一章</w:t>
      </w:r>
      <w:r>
        <w:rPr>
          <w:rFonts w:eastAsia="黑体;SimHei"/>
        </w:rPr>
        <w:t xml:space="preserve">  </w:t>
      </w:r>
      <w:r>
        <w:rPr>
          <w:rFonts w:hint="eastAsia" w:eastAsia="黑体;SimHei"/>
        </w:rPr>
        <w:t>总  则</w:t>
      </w:r>
    </w:p>
    <w:p>
      <w:pPr>
        <w:pStyle w:val="Normal"/>
        <w:widowControl/>
        <w:snapToGrid w:val="false"/>
        <w:spacing w:lineRule="exact" w:line="576"/>
        <w:jc w:val="center"/>
        <w:rPr>
          <w:rFonts w:eastAsia="黑体;SimHei" w:hint="eastAsia"/>
        </w:rPr>
      </w:pPr>
      <w:r>
        <w:rPr>
          <w:rFonts w:eastAsia="黑体;SimHei" w:hint="eastAsia"/>
        </w:rPr>
      </w:r>
    </w:p>
    <w:p>
      <w:pPr>
        <w:pStyle w:val="Normal"/>
        <w:spacing w:lineRule="exact" w:line="576"/>
        <w:ind w:firstLineChars="200" w:startChars="0" w:start="0" w:endChars="0" w:end="0"/>
        <w:rPr/>
      </w:pPr>
      <w:r>
        <w:rPr>
          <w:rFonts w:ascii="方正黑体简体" w:hAnsi="方正黑体简体" w:hint="eastAsia" w:eastAsia="黑体;SimHei"/>
        </w:rPr>
        <w:t>第一条</w:t>
      </w:r>
      <w:r>
        <w:rPr/>
        <w:t xml:space="preserve"> </w:t>
      </w:r>
      <w:r>
        <w:rPr>
          <w:rFonts w:hint="eastAsia"/>
        </w:rPr>
        <w:t xml:space="preserve"> </w:t>
      </w:r>
      <w:r>
        <w:rPr/>
        <w:t>为了加强生活垃圾分类管理，提高生活垃圾减量化、资源化、无害化水平，改善人居环境，促进社会文明，维护生态安全，根据《中华人民共和国固体废物污染环境防治法》、《中华人民共和国循环经济促进法》、《城市市容和环境卫生管理条例》、《四川省固体废物污染环境防治条例》等法律法规，结合泸州市实际，制定本条例。</w:t>
      </w:r>
    </w:p>
    <w:p>
      <w:pPr>
        <w:pStyle w:val="Normal"/>
        <w:spacing w:lineRule="exact" w:line="576"/>
        <w:ind w:firstLineChars="200" w:startChars="0" w:start="0" w:endChars="0" w:end="0"/>
        <w:rPr/>
      </w:pPr>
      <w:r>
        <w:rPr>
          <w:rFonts w:ascii="方正黑体简体" w:hAnsi="方正黑体简体" w:eastAsia="黑体;SimHei"/>
        </w:rPr>
        <w:t>第二条</w:t>
      </w:r>
      <w:r>
        <w:rPr/>
        <w:t xml:space="preserve"> </w:t>
      </w:r>
      <w:r>
        <w:rPr>
          <w:rFonts w:hint="eastAsia"/>
        </w:rPr>
        <w:t xml:space="preserve"> </w:t>
      </w:r>
      <w:r>
        <w:rPr/>
        <w:t>泸州市</w:t>
      </w:r>
      <w:r>
        <w:rPr>
          <w:rFonts w:hint="eastAsia"/>
        </w:rPr>
        <w:t>城市建成区及其他实行城市化管理区域</w:t>
      </w:r>
      <w:r>
        <w:rPr/>
        <w:t>内生活垃圾的分类投放、收集、运输、处理及其监督管理等活动，适用本条例。</w:t>
      </w:r>
    </w:p>
    <w:p>
      <w:pPr>
        <w:pStyle w:val="Normal"/>
        <w:spacing w:lineRule="exact" w:line="576"/>
        <w:ind w:firstLineChars="200" w:startChars="0" w:start="0" w:endChars="0" w:end="0"/>
        <w:rPr/>
      </w:pPr>
      <w:r>
        <w:rPr/>
        <w:t>农村地区</w:t>
      </w:r>
      <w:r>
        <w:rPr>
          <w:rFonts w:hint="eastAsia"/>
        </w:rPr>
        <w:t>的</w:t>
      </w:r>
      <w:r>
        <w:rPr/>
        <w:t>生活垃圾分类</w:t>
      </w:r>
      <w:r>
        <w:rPr>
          <w:rFonts w:hint="eastAsia"/>
        </w:rPr>
        <w:t>具体</w:t>
      </w:r>
      <w:r>
        <w:rPr/>
        <w:t>管理办法，由</w:t>
      </w:r>
      <w:r>
        <w:rPr>
          <w:rFonts w:hint="eastAsia"/>
        </w:rPr>
        <w:t>县（区）</w:t>
      </w:r>
      <w:r>
        <w:rPr/>
        <w:t>人民政府根据实际</w:t>
      </w:r>
      <w:r>
        <w:rPr>
          <w:rFonts w:hint="eastAsia"/>
        </w:rPr>
        <w:t>制</w:t>
      </w:r>
      <w:r>
        <w:rPr/>
        <w:t>定，报市人民政府批准后，向社会公布。</w:t>
      </w:r>
    </w:p>
    <w:p>
      <w:pPr>
        <w:pStyle w:val="Normal"/>
        <w:spacing w:lineRule="exact" w:line="576"/>
        <w:ind w:firstLineChars="200" w:startChars="0" w:start="0" w:endChars="0" w:end="0"/>
        <w:rPr/>
      </w:pPr>
      <w:r>
        <w:rPr>
          <w:rFonts w:ascii="方正黑体简体" w:hAnsi="方正黑体简体" w:eastAsia="黑体;SimHei"/>
        </w:rPr>
        <w:t>第三条</w:t>
      </w:r>
      <w:r>
        <w:rPr>
          <w:rFonts w:ascii="方正黑体简体" w:hAnsi="方正黑体简体" w:hint="eastAsia" w:eastAsia="黑体;SimHei"/>
        </w:rPr>
        <w:t xml:space="preserve"> </w:t>
      </w:r>
      <w:r>
        <w:rPr>
          <w:rFonts w:eastAsia="方正楷体简体"/>
        </w:rPr>
        <w:t xml:space="preserve"> </w:t>
      </w:r>
      <w:r>
        <w:rPr/>
        <w:t>本条例所称生活垃圾，是指在日常生活中或者为日常生活提供服务的活动中产生的固体废物，以及法律、行政法规规定视为生活垃圾的固体废物。</w:t>
      </w:r>
    </w:p>
    <w:p>
      <w:pPr>
        <w:pStyle w:val="Normal"/>
        <w:spacing w:lineRule="exact" w:line="576"/>
        <w:ind w:firstLineChars="200" w:startChars="0" w:start="0" w:endChars="0" w:end="0"/>
        <w:rPr/>
      </w:pPr>
      <w:r>
        <w:rPr>
          <w:rFonts w:ascii="方正黑体简体" w:hAnsi="方正黑体简体" w:eastAsia="黑体;SimHei"/>
        </w:rPr>
        <w:t>第四条</w:t>
      </w:r>
      <w:r>
        <w:rPr/>
        <w:t xml:space="preserve"> </w:t>
      </w:r>
      <w:r>
        <w:rPr>
          <w:rFonts w:hint="eastAsia"/>
        </w:rPr>
        <w:t xml:space="preserve"> </w:t>
      </w:r>
      <w:r>
        <w:rPr/>
        <w:t>生活垃圾分类管理工作坚持党委领导、政府推动、全民参与、绿色低碳、城乡统筹、因地制宜、循序渐进的原则。</w:t>
      </w:r>
    </w:p>
    <w:p>
      <w:pPr>
        <w:pStyle w:val="Normal"/>
        <w:spacing w:lineRule="exact" w:line="576"/>
        <w:ind w:firstLineChars="200" w:startChars="0" w:start="0" w:endChars="0" w:end="0"/>
        <w:rPr/>
      </w:pPr>
      <w:r>
        <w:rPr>
          <w:rFonts w:ascii="方正黑体简体" w:hAnsi="方正黑体简体" w:eastAsia="黑体;SimHei"/>
        </w:rPr>
        <w:t>第五条</w:t>
      </w:r>
      <w:r>
        <w:rPr/>
        <w:t xml:space="preserve"> </w:t>
      </w:r>
      <w:r>
        <w:rPr>
          <w:rFonts w:hint="eastAsia"/>
        </w:rPr>
        <w:t xml:space="preserve"> </w:t>
      </w:r>
      <w:r>
        <w:rPr/>
        <w:t>市</w:t>
      </w:r>
      <w:r>
        <w:rPr>
          <w:rFonts w:hint="eastAsia"/>
        </w:rPr>
        <w:t>、县（区）</w:t>
      </w:r>
      <w:r>
        <w:rPr/>
        <w:t>人民政府应当将生活垃圾分类管理工作纳入国民经济和社会发展规划，加快生活垃圾分类管理能力建设，建立健全工作协调机制和考评体系，所需经费列入同级预算。</w:t>
      </w:r>
    </w:p>
    <w:p>
      <w:pPr>
        <w:pStyle w:val="Normal"/>
        <w:spacing w:lineRule="exact" w:line="576"/>
        <w:ind w:firstLineChars="200" w:startChars="0" w:start="0" w:endChars="0" w:end="0"/>
        <w:rPr/>
      </w:pPr>
      <w:r>
        <w:rPr/>
        <w:t>乡（镇）人民政府、街道办事处负责本辖区生活垃圾分类投放、收集、转运等日常管理工作。</w:t>
      </w:r>
    </w:p>
    <w:p>
      <w:pPr>
        <w:pStyle w:val="Normal"/>
        <w:spacing w:lineRule="exact" w:line="576"/>
        <w:ind w:firstLineChars="200" w:startChars="0" w:start="0" w:endChars="0" w:end="0"/>
        <w:rPr/>
      </w:pPr>
      <w:r>
        <w:rPr>
          <w:rFonts w:ascii="方正黑体简体" w:hAnsi="方正黑体简体" w:eastAsia="黑体;SimHei"/>
        </w:rPr>
        <w:t>第六条</w:t>
      </w:r>
      <w:r>
        <w:rPr>
          <w:rFonts w:ascii="方正黑体简体" w:hAnsi="方正黑体简体" w:hint="eastAsia" w:eastAsia="黑体;SimHei"/>
        </w:rPr>
        <w:t xml:space="preserve"> </w:t>
      </w:r>
      <w:r>
        <w:rPr>
          <w:rFonts w:hint="eastAsia" w:eastAsia="方正楷体简体"/>
        </w:rPr>
        <w:t xml:space="preserve"> </w:t>
      </w:r>
      <w:r>
        <w:rPr/>
        <w:t>市</w:t>
      </w:r>
      <w:r>
        <w:rPr>
          <w:rFonts w:hint="eastAsia"/>
        </w:rPr>
        <w:t>、县（区）</w:t>
      </w:r>
      <w:r>
        <w:rPr/>
        <w:t>人民政府环境卫生主管部门负责生活垃圾分类管理工作的组织、协调、指导和监督。</w:t>
      </w:r>
    </w:p>
    <w:p>
      <w:pPr>
        <w:pStyle w:val="Normal"/>
        <w:spacing w:lineRule="exact" w:line="576"/>
        <w:ind w:firstLineChars="200" w:startChars="0" w:start="0" w:endChars="0" w:end="0"/>
        <w:rPr/>
      </w:pPr>
      <w:r>
        <w:rPr/>
        <w:t>发展改革、教育体育、生态环境、农业农村、住房城乡建设、市场监督管理、商务、民政、财政、经济和信息化、自然资源和规划、文化广电旅游、交通运输、卫生健康、机关事务管理等部门按照各自职责，做好生活垃圾分类管理工作。</w:t>
      </w:r>
    </w:p>
    <w:p>
      <w:pPr>
        <w:pStyle w:val="Normal"/>
        <w:spacing w:lineRule="exact" w:line="576"/>
        <w:ind w:firstLineChars="200" w:startChars="0" w:start="0" w:endChars="0" w:end="0"/>
        <w:rPr/>
      </w:pPr>
      <w:r>
        <w:rPr>
          <w:rFonts w:ascii="方正黑体简体" w:hAnsi="方正黑体简体" w:eastAsia="黑体;SimHei"/>
        </w:rPr>
        <w:t>第七条</w:t>
      </w:r>
      <w:r>
        <w:rPr/>
        <w:t xml:space="preserve"> </w:t>
      </w:r>
      <w:r>
        <w:rPr>
          <w:rFonts w:hint="eastAsia"/>
        </w:rPr>
        <w:t xml:space="preserve"> </w:t>
      </w:r>
      <w:r>
        <w:rPr/>
        <w:t>村（居）民委员会负责引导督促单位、家庭和个人分类投放生活垃圾，协助做好生活垃圾分类收集、转运、处理等相关工作。</w:t>
      </w:r>
    </w:p>
    <w:p>
      <w:pPr>
        <w:pStyle w:val="Normal"/>
        <w:spacing w:lineRule="exact" w:line="576"/>
        <w:ind w:firstLineChars="200" w:startChars="0" w:start="0" w:endChars="0" w:end="0"/>
        <w:rPr/>
      </w:pPr>
      <w:r>
        <w:rPr/>
        <w:t>鼓励村规民约、居民公约对生活垃圾分类要求作出规定。</w:t>
      </w:r>
    </w:p>
    <w:p>
      <w:pPr>
        <w:pStyle w:val="Normal"/>
        <w:spacing w:lineRule="exact" w:line="576"/>
        <w:ind w:firstLineChars="200" w:startChars="0" w:start="0" w:endChars="0" w:end="0"/>
        <w:rPr/>
      </w:pPr>
      <w:r>
        <w:rPr>
          <w:rFonts w:ascii="方正黑体简体" w:hAnsi="方正黑体简体" w:eastAsia="黑体;SimHei"/>
        </w:rPr>
        <w:t>第八条</w:t>
      </w:r>
      <w:r>
        <w:rPr/>
        <w:t xml:space="preserve"> </w:t>
      </w:r>
      <w:r>
        <w:rPr>
          <w:rFonts w:hint="eastAsia"/>
        </w:rPr>
        <w:t xml:space="preserve"> </w:t>
      </w:r>
      <w:r>
        <w:rPr/>
        <w:t>单位、家庭和个人应当遵守生活垃圾分类管理的规定，依法履行生活垃圾源头减量和分类投放义务。</w:t>
      </w:r>
    </w:p>
    <w:p>
      <w:pPr>
        <w:pStyle w:val="Normal"/>
        <w:spacing w:lineRule="exact" w:line="576"/>
        <w:ind w:firstLineChars="200" w:startChars="0" w:start="0" w:endChars="0" w:end="0"/>
        <w:rPr/>
      </w:pPr>
      <w:r>
        <w:rPr/>
        <w:t>市</w:t>
      </w:r>
      <w:r>
        <w:rPr>
          <w:rFonts w:hint="eastAsia"/>
        </w:rPr>
        <w:t>、县（区）</w:t>
      </w:r>
      <w:r>
        <w:rPr/>
        <w:t>人民政府应当建立生活垃圾分类管理激励机制，完善考核评估制度，对成绩突出的单位、家庭或者个人按照有关规定给予表扬或者奖励。</w:t>
      </w:r>
    </w:p>
    <w:p>
      <w:pPr>
        <w:pStyle w:val="Normal"/>
        <w:spacing w:lineRule="exact" w:line="576"/>
        <w:ind w:firstLineChars="200" w:startChars="0" w:start="0" w:endChars="0" w:end="0"/>
        <w:rPr/>
      </w:pPr>
      <w:r>
        <w:rPr>
          <w:rFonts w:ascii="方正黑体简体" w:hAnsi="方正黑体简体" w:eastAsia="黑体;SimHei"/>
        </w:rPr>
        <w:t>第九条</w:t>
      </w:r>
      <w:r>
        <w:rPr/>
        <w:t xml:space="preserve"> </w:t>
      </w:r>
      <w:r>
        <w:rPr>
          <w:rFonts w:hint="eastAsia"/>
        </w:rPr>
        <w:t xml:space="preserve"> </w:t>
      </w:r>
      <w:r>
        <w:rPr/>
        <w:t>国家机关、企业事业单位、群团组织等应当向社会公众普及生活垃圾分类知识，增强公众分类意识，倡导绿色健康的生活方式。</w:t>
      </w:r>
    </w:p>
    <w:p>
      <w:pPr>
        <w:pStyle w:val="Normal"/>
        <w:spacing w:lineRule="exact" w:line="576"/>
        <w:ind w:firstLineChars="200" w:startChars="0" w:start="0" w:endChars="0" w:end="0"/>
        <w:rPr/>
      </w:pPr>
      <w:r>
        <w:rPr/>
        <w:t>各级各类学校应当组织开展生活垃圾分类知识普及教育。学前教育应当将生活垃圾分类类别、收集容器类别标识等常识作为教育内容。</w:t>
      </w:r>
    </w:p>
    <w:p>
      <w:pPr>
        <w:pStyle w:val="Normal"/>
        <w:spacing w:lineRule="exact" w:line="576"/>
        <w:ind w:firstLineChars="200" w:startChars="0" w:start="0" w:endChars="0" w:end="0"/>
        <w:rPr/>
      </w:pPr>
      <w:r>
        <w:rPr/>
        <w:t>广播、电视、报刊、网络等新闻媒体应当开展生活垃圾分类管理公益宣传和舆论引导。</w:t>
      </w:r>
    </w:p>
    <w:p>
      <w:pPr>
        <w:pStyle w:val="Normal"/>
        <w:spacing w:lineRule="exact" w:line="576"/>
        <w:jc w:val="center"/>
        <w:rPr>
          <w:rFonts w:eastAsia="黑体;SimHei"/>
        </w:rPr>
      </w:pPr>
      <w:r>
        <w:rPr>
          <w:rFonts w:eastAsia="黑体;SimHei"/>
        </w:rPr>
      </w:r>
    </w:p>
    <w:p>
      <w:pPr>
        <w:pStyle w:val="Normal"/>
        <w:spacing w:lineRule="exact" w:line="576"/>
        <w:jc w:val="center"/>
        <w:rPr>
          <w:rFonts w:eastAsia="黑体;SimHei" w:hint="eastAsia"/>
        </w:rPr>
      </w:pPr>
      <w:r>
        <w:rPr>
          <w:rFonts w:eastAsia="黑体;SimHei"/>
        </w:rPr>
        <w:t>第二章  分类投放</w:t>
      </w:r>
    </w:p>
    <w:p>
      <w:pPr>
        <w:pStyle w:val="Normal"/>
        <w:spacing w:lineRule="exact" w:line="576"/>
        <w:jc w:val="center"/>
        <w:rPr>
          <w:rFonts w:eastAsia="黑体;SimHei" w:hint="eastAsia"/>
        </w:rPr>
      </w:pPr>
      <w:r>
        <w:rPr>
          <w:rFonts w:eastAsia="黑体;SimHei" w:hint="eastAsia"/>
        </w:rPr>
      </w:r>
    </w:p>
    <w:p>
      <w:pPr>
        <w:pStyle w:val="Normal"/>
        <w:spacing w:lineRule="exact" w:line="576"/>
        <w:ind w:firstLineChars="200" w:startChars="0" w:start="0" w:endChars="0" w:end="0"/>
        <w:rPr/>
      </w:pPr>
      <w:r>
        <w:rPr>
          <w:rFonts w:ascii="方正黑体简体" w:hAnsi="方正黑体简体" w:eastAsia="黑体;SimHei"/>
        </w:rPr>
        <w:t>第十条</w:t>
      </w:r>
      <w:r>
        <w:rPr/>
        <w:t xml:space="preserve"> </w:t>
      </w:r>
      <w:r>
        <w:rPr>
          <w:rFonts w:hint="eastAsia"/>
        </w:rPr>
        <w:t xml:space="preserve"> </w:t>
      </w:r>
      <w:r>
        <w:rPr/>
        <w:t>生活垃圾分为可回收物、有害垃圾、厨余垃圾、其他垃圾，具体按照下列要求分类：</w:t>
      </w:r>
    </w:p>
    <w:p>
      <w:pPr>
        <w:pStyle w:val="Normal"/>
        <w:spacing w:lineRule="exact" w:line="576"/>
        <w:ind w:firstLineChars="200" w:startChars="0" w:start="0" w:endChars="0" w:end="0"/>
        <w:rPr/>
      </w:pPr>
      <w:r>
        <w:rPr/>
        <w:t>（一）可回收物，是指适宜回收和资源化利用的垃圾，包括废弃的玻璃、金属、塑料、纸类、织物、家具、电器电子产品等；</w:t>
      </w:r>
    </w:p>
    <w:p>
      <w:pPr>
        <w:pStyle w:val="Normal"/>
        <w:spacing w:lineRule="exact" w:line="576"/>
        <w:ind w:firstLineChars="200" w:startChars="0" w:start="0" w:endChars="0" w:end="0"/>
        <w:rPr/>
      </w:pPr>
      <w:r>
        <w:rPr/>
        <w:t>（二）有害垃圾，是指对人体健康或者自然环境造成直接或者潜在危害且应当进行专门处理的垃圾，包括废弃的电池、灯管、家用化学品等；</w:t>
      </w:r>
    </w:p>
    <w:p>
      <w:pPr>
        <w:pStyle w:val="Normal"/>
        <w:spacing w:lineRule="exact" w:line="576"/>
        <w:ind w:firstLineChars="200" w:startChars="0" w:start="0" w:endChars="0" w:end="0"/>
        <w:rPr/>
      </w:pPr>
      <w:r>
        <w:rPr/>
        <w:t>（三）厨余垃圾，是指容易腐烂的食物残渣、瓜果皮核等含有有机质的垃圾，包括家庭厨余垃圾、餐厨垃圾、其他厨余垃圾等；</w:t>
      </w:r>
    </w:p>
    <w:p>
      <w:pPr>
        <w:pStyle w:val="Normal"/>
        <w:spacing w:lineRule="exact" w:line="576"/>
        <w:ind w:firstLineChars="200" w:startChars="0" w:start="0" w:endChars="0" w:end="0"/>
        <w:rPr/>
      </w:pPr>
      <w:r>
        <w:rPr/>
        <w:t>（四）其他垃圾，是指除可回收物、有害垃圾、厨余垃圾以外的其他生活垃圾，包括受污染的纸巾、烟蒂、灰土等。</w:t>
      </w:r>
    </w:p>
    <w:p>
      <w:pPr>
        <w:pStyle w:val="Normal"/>
        <w:spacing w:lineRule="exact" w:line="576"/>
        <w:ind w:firstLineChars="200" w:startChars="0" w:start="0" w:endChars="0" w:end="0"/>
        <w:rPr/>
      </w:pPr>
      <w:r>
        <w:rPr>
          <w:rFonts w:ascii="方正黑体简体" w:hAnsi="方正黑体简体" w:eastAsia="黑体;SimHei"/>
        </w:rPr>
        <w:t>第十一条</w:t>
      </w:r>
      <w:r>
        <w:rPr/>
        <w:t xml:space="preserve"> </w:t>
      </w:r>
      <w:r>
        <w:rPr>
          <w:rFonts w:hint="eastAsia"/>
        </w:rPr>
        <w:t xml:space="preserve"> </w:t>
      </w:r>
      <w:r>
        <w:rPr/>
        <w:t>市人民政府环境卫生主管部门应当会同有关部门制</w:t>
      </w:r>
      <w:r>
        <w:rPr>
          <w:spacing w:val="-8"/>
        </w:rPr>
        <w:t>定生活垃圾分类指导目录和设施设备配置规范，向社会公布。</w:t>
      </w:r>
    </w:p>
    <w:p>
      <w:pPr>
        <w:pStyle w:val="Normal"/>
        <w:spacing w:lineRule="exact" w:line="576"/>
        <w:ind w:firstLineChars="200" w:startChars="0" w:start="0" w:endChars="0" w:end="0"/>
        <w:rPr/>
      </w:pPr>
      <w:r>
        <w:rPr/>
        <w:t>生活垃圾分类收集容器应当按照因地制宜、合理布局、简易便民的原则进行设置，其颜色、分类标志和相关提示标识应当统一规范、清晰醒目、易于辨识。</w:t>
      </w:r>
    </w:p>
    <w:p>
      <w:pPr>
        <w:pStyle w:val="Normal"/>
        <w:spacing w:lineRule="exact" w:line="576"/>
        <w:ind w:firstLineChars="200" w:startChars="0" w:start="0" w:endChars="0" w:end="0"/>
        <w:rPr/>
      </w:pPr>
      <w:r>
        <w:rPr>
          <w:rFonts w:ascii="方正黑体简体" w:hAnsi="方正黑体简体" w:eastAsia="黑体;SimHei"/>
        </w:rPr>
        <w:t>第十二条</w:t>
      </w:r>
      <w:r>
        <w:rPr/>
        <w:t xml:space="preserve"> </w:t>
      </w:r>
      <w:r>
        <w:rPr>
          <w:rFonts w:hint="eastAsia"/>
        </w:rPr>
        <w:t xml:space="preserve"> </w:t>
      </w:r>
      <w:r>
        <w:rPr/>
        <w:t>单位、家庭和个人在投放生活垃圾时应当遵守下列规定：</w:t>
      </w:r>
    </w:p>
    <w:p>
      <w:pPr>
        <w:pStyle w:val="Normal"/>
        <w:spacing w:lineRule="exact" w:line="576"/>
        <w:ind w:firstLineChars="200" w:startChars="0" w:start="0" w:endChars="0" w:end="0"/>
        <w:rPr/>
      </w:pPr>
      <w:r>
        <w:rPr/>
        <w:t>（一）可回收物应当投放至可回收物收集容器、收集点，或者交售给再生资源回收站点、回收经营者；</w:t>
      </w:r>
    </w:p>
    <w:p>
      <w:pPr>
        <w:pStyle w:val="Normal"/>
        <w:spacing w:lineRule="exact" w:line="576"/>
        <w:ind w:firstLineChars="200" w:startChars="0" w:start="0" w:endChars="0" w:end="0"/>
        <w:rPr/>
      </w:pPr>
      <w:r>
        <w:rPr/>
        <w:t>（二）有害垃圾应当按照标识分类投放至有害垃圾收集容器，或者送至有害垃圾回收点；</w:t>
      </w:r>
    </w:p>
    <w:p>
      <w:pPr>
        <w:pStyle w:val="Normal"/>
        <w:spacing w:lineRule="exact" w:line="576"/>
        <w:ind w:firstLineChars="200" w:startChars="0" w:start="0" w:endChars="0" w:end="0"/>
        <w:rPr/>
      </w:pPr>
      <w:r>
        <w:rPr/>
        <w:t>（三）厨余垃圾应当先沥出水分，再投放至厨余垃圾收集容器；</w:t>
      </w:r>
    </w:p>
    <w:p>
      <w:pPr>
        <w:pStyle w:val="Normal"/>
        <w:spacing w:lineRule="exact" w:line="576"/>
        <w:ind w:firstLineChars="200" w:startChars="0" w:start="0" w:endChars="0" w:end="0"/>
        <w:rPr/>
      </w:pPr>
      <w:r>
        <w:rPr/>
        <w:t>（四）其他垃圾应当投放至指定的其他垃圾收集容器。</w:t>
      </w:r>
    </w:p>
    <w:p>
      <w:pPr>
        <w:pStyle w:val="Normal"/>
        <w:spacing w:lineRule="exact" w:line="576"/>
        <w:ind w:firstLineChars="200" w:startChars="0" w:start="0" w:endChars="0" w:end="0"/>
        <w:rPr/>
      </w:pPr>
      <w:r>
        <w:rPr/>
        <w:t>废弃家具、电器电子产品等体积大、整体性强，或者需要拆分再处理的大件生活垃圾，应当投放至指定地点，或者预约再生资源回收企业、生活垃圾分类服务单位等上门回收。</w:t>
      </w:r>
    </w:p>
    <w:p>
      <w:pPr>
        <w:pStyle w:val="Normal"/>
        <w:spacing w:lineRule="exact" w:line="576"/>
        <w:ind w:firstLineChars="200" w:startChars="0" w:start="0" w:endChars="0" w:end="0"/>
        <w:rPr/>
      </w:pPr>
      <w:r>
        <w:rPr>
          <w:rFonts w:ascii="方正黑体简体" w:hAnsi="方正黑体简体" w:eastAsia="黑体;SimHei"/>
        </w:rPr>
        <w:t>第十三条</w:t>
      </w:r>
      <w:r>
        <w:rPr/>
        <w:t xml:space="preserve"> </w:t>
      </w:r>
      <w:r>
        <w:rPr>
          <w:rFonts w:hint="eastAsia"/>
        </w:rPr>
        <w:t xml:space="preserve"> </w:t>
      </w:r>
      <w:r>
        <w:rPr/>
        <w:t>生活垃圾分类投放实行管理责任人制度。管理责任人按照下列规定确定：</w:t>
      </w:r>
    </w:p>
    <w:p>
      <w:pPr>
        <w:pStyle w:val="Normal"/>
        <w:spacing w:lineRule="exact" w:line="576"/>
        <w:ind w:firstLineChars="200" w:startChars="0" w:start="0" w:endChars="0" w:end="0"/>
        <w:rPr/>
      </w:pPr>
      <w:r>
        <w:rPr/>
        <w:t>（一）国家机关、企业事业单位、群团组织以及其他社会组织委托物业服务人负责办公和生产经营场所环境卫生管理的，受委托的物业服务人为管理责任人；自行负责办公和生产经营场所环境卫生管理的，自行管理的单位为管理责任人。</w:t>
      </w:r>
    </w:p>
    <w:p>
      <w:pPr>
        <w:pStyle w:val="Normal"/>
        <w:spacing w:lineRule="exact" w:line="576"/>
        <w:ind w:firstLineChars="200" w:startChars="0" w:start="0" w:endChars="0" w:end="0"/>
        <w:rPr/>
      </w:pPr>
      <w:r>
        <w:rPr/>
        <w:t>（二）住宅小区委托物业服务人负责环境卫生管理的，受委托的物业服务人为管理责任人；业主自行管理环境卫生的，业主委员会为管理责任人，未成立业主委员会的，村（居）民委员会为管理责任人。</w:t>
      </w:r>
    </w:p>
    <w:p>
      <w:pPr>
        <w:pStyle w:val="Normal"/>
        <w:spacing w:lineRule="exact" w:line="576"/>
        <w:ind w:firstLineChars="200" w:startChars="0" w:start="0" w:endChars="0" w:end="0"/>
        <w:rPr/>
      </w:pPr>
      <w:r>
        <w:rPr/>
        <w:t>（三）道路、广场、公园、公共绿地等公共场所管理单位或者其委托的环境卫生管理单位为管理责任人。</w:t>
      </w:r>
    </w:p>
    <w:p>
      <w:pPr>
        <w:pStyle w:val="Normal"/>
        <w:spacing w:lineRule="exact" w:line="576"/>
        <w:ind w:firstLineChars="200" w:startChars="0" w:start="0" w:endChars="0" w:end="0"/>
        <w:rPr/>
      </w:pPr>
      <w:r>
        <w:rPr/>
        <w:t>（四）车站、机场、码头以及旅游、文化、体育、娱乐、商业等公共场所经营管理单位或者其委托的环境卫生管理单位为管理责任人。</w:t>
      </w:r>
    </w:p>
    <w:p>
      <w:pPr>
        <w:pStyle w:val="Normal"/>
        <w:spacing w:lineRule="exact" w:line="576"/>
        <w:ind w:firstLineChars="200" w:startChars="0" w:start="0" w:endChars="0" w:end="0"/>
        <w:rPr/>
      </w:pPr>
      <w:r>
        <w:rPr/>
        <w:t>按照前款规定不能确定管理责任人的，由所在地县</w:t>
      </w:r>
      <w:r>
        <w:rPr>
          <w:rFonts w:hint="eastAsia"/>
        </w:rPr>
        <w:t>（区）</w:t>
      </w:r>
      <w:r>
        <w:rPr/>
        <w:t>人民政府环境卫生主管部门会同乡（镇）人民政府、街道办事处确定。</w:t>
      </w:r>
    </w:p>
    <w:p>
      <w:pPr>
        <w:pStyle w:val="Normal"/>
        <w:spacing w:lineRule="exact" w:line="576"/>
        <w:ind w:firstLineChars="200" w:startChars="0" w:start="0" w:endChars="0" w:end="0"/>
        <w:rPr/>
      </w:pPr>
      <w:r>
        <w:rPr>
          <w:rFonts w:ascii="方正黑体简体" w:hAnsi="方正黑体简体" w:eastAsia="黑体;SimHei"/>
        </w:rPr>
        <w:t>第十四条</w:t>
      </w:r>
      <w:r>
        <w:rPr>
          <w:rFonts w:hint="eastAsia" w:eastAsia="方正楷体简体"/>
        </w:rPr>
        <w:t xml:space="preserve">  </w:t>
      </w:r>
      <w:r>
        <w:rPr/>
        <w:t>管理责任人应当履行下列职责：</w:t>
      </w:r>
    </w:p>
    <w:p>
      <w:pPr>
        <w:pStyle w:val="Normal"/>
        <w:spacing w:lineRule="exact" w:line="576"/>
        <w:ind w:firstLineChars="200" w:startChars="0" w:start="0" w:endChars="0" w:end="0"/>
        <w:rPr/>
      </w:pPr>
      <w:r>
        <w:rPr/>
        <w:t>（一）建立生活垃圾分类投放日常管理制度，公示不同种类生活垃圾的投放时间、地点、方式等，指定大件生活垃圾存放点或者提供处理的联系方式；</w:t>
      </w:r>
    </w:p>
    <w:p>
      <w:pPr>
        <w:pStyle w:val="Normal"/>
        <w:spacing w:lineRule="exact" w:line="576"/>
        <w:ind w:firstLineChars="200" w:startChars="0" w:start="0" w:endChars="0" w:end="0"/>
        <w:rPr/>
      </w:pPr>
      <w:r>
        <w:rPr/>
        <w:t>（二）按照生活垃圾分类设施设备配置规范设置分类投放点，配置分类收集容器，维护各类投放点、收集点（站）和容器完好、整洁；</w:t>
      </w:r>
    </w:p>
    <w:p>
      <w:pPr>
        <w:pStyle w:val="Normal"/>
        <w:spacing w:lineRule="exact" w:line="576"/>
        <w:ind w:firstLineChars="200" w:startChars="0" w:start="0" w:endChars="0" w:end="0"/>
        <w:rPr/>
      </w:pPr>
      <w:r>
        <w:rPr/>
        <w:t>（三）开展生活垃圾分类知识宣传，张贴宣传分类标准、指南、方法的图文资料；</w:t>
      </w:r>
    </w:p>
    <w:p>
      <w:pPr>
        <w:pStyle w:val="Normal"/>
        <w:spacing w:lineRule="exact" w:line="576"/>
        <w:ind w:firstLineChars="200" w:startChars="0" w:start="0" w:endChars="0" w:end="0"/>
        <w:rPr/>
      </w:pPr>
      <w:r>
        <w:rPr/>
        <w:t>（四）合理配备生活垃圾分类督导员，指导、监督生活垃圾定点分类投放；</w:t>
      </w:r>
    </w:p>
    <w:p>
      <w:pPr>
        <w:pStyle w:val="Normal"/>
        <w:spacing w:lineRule="exact" w:line="576"/>
        <w:ind w:firstLineChars="200" w:startChars="0" w:start="0" w:endChars="0" w:end="0"/>
        <w:rPr/>
      </w:pPr>
      <w:r>
        <w:rPr/>
        <w:t>（五）负责生活垃圾分类交运。除可以交售的可回收物外，及时将生活垃圾分类移交相应的收集、运输单位；</w:t>
      </w:r>
    </w:p>
    <w:p>
      <w:pPr>
        <w:pStyle w:val="Normal"/>
        <w:spacing w:lineRule="exact" w:line="576"/>
        <w:ind w:firstLineChars="200" w:startChars="0" w:start="0" w:endChars="0" w:end="0"/>
        <w:rPr/>
      </w:pPr>
      <w:r>
        <w:rPr/>
        <w:t>（六）建立生活垃圾分类管理台账，记录生活垃圾种类、数量、去向等内容。</w:t>
      </w:r>
    </w:p>
    <w:p>
      <w:pPr>
        <w:pStyle w:val="Normal"/>
        <w:spacing w:lineRule="exact" w:line="576"/>
        <w:ind w:firstLineChars="200" w:startChars="0" w:start="0" w:endChars="0" w:end="0"/>
        <w:rPr/>
      </w:pPr>
      <w:r>
        <w:rPr/>
        <w:t>管理责任人按照规定履行职责的，有关单位、家庭和个人应当予以配合。</w:t>
      </w:r>
    </w:p>
    <w:p>
      <w:pPr>
        <w:pStyle w:val="Normal"/>
        <w:spacing w:lineRule="exact" w:line="576"/>
        <w:ind w:firstLineChars="200" w:startChars="0" w:start="0" w:endChars="0" w:end="0"/>
        <w:rPr/>
      </w:pPr>
      <w:r>
        <w:rPr>
          <w:rFonts w:ascii="方正黑体简体" w:hAnsi="方正黑体简体" w:eastAsia="黑体;SimHei"/>
        </w:rPr>
        <w:t>第十五条</w:t>
      </w:r>
      <w:r>
        <w:rPr/>
        <w:t xml:space="preserve"> </w:t>
      </w:r>
      <w:r>
        <w:rPr>
          <w:rFonts w:hint="eastAsia"/>
        </w:rPr>
        <w:t xml:space="preserve"> 县（区）</w:t>
      </w:r>
      <w:r>
        <w:rPr/>
        <w:t>人民政府应当根据本地实际情况，推行生活垃圾定点分类投放。</w:t>
      </w:r>
    </w:p>
    <w:p>
      <w:pPr>
        <w:pStyle w:val="Normal"/>
        <w:spacing w:lineRule="exact" w:line="576"/>
        <w:ind w:firstLineChars="200" w:startChars="0" w:start="0" w:endChars="0" w:end="0"/>
        <w:rPr/>
      </w:pPr>
      <w:r>
        <w:rPr>
          <w:rFonts w:hint="eastAsia"/>
        </w:rPr>
        <w:t>县（区）</w:t>
      </w:r>
      <w:r>
        <w:rPr/>
        <w:t>人民政府环境卫生主管部门应当会同乡（镇）人民政府、街道办事处组织村（居）民委员会、管理责任人和村（居）民充分讨论，合理布局生活垃圾集中分类投放点。</w:t>
      </w:r>
    </w:p>
    <w:p>
      <w:pPr>
        <w:pStyle w:val="Normal"/>
        <w:spacing w:lineRule="exact" w:line="576"/>
        <w:ind w:firstLineChars="200" w:startChars="0" w:start="0" w:endChars="0" w:end="0"/>
        <w:rPr/>
      </w:pPr>
      <w:r>
        <w:rPr/>
        <w:t>实行生活垃圾定点分类投放的住宅小区，居住楼层内公共区域不得设置生活垃圾收集容器。</w:t>
      </w:r>
    </w:p>
    <w:p>
      <w:pPr>
        <w:pStyle w:val="Normal"/>
        <w:spacing w:lineRule="exact" w:line="576"/>
        <w:ind w:firstLineChars="200" w:startChars="0" w:start="0" w:endChars="0" w:end="0"/>
        <w:rPr/>
      </w:pPr>
      <w:r>
        <w:rPr>
          <w:rFonts w:ascii="方正黑体简体" w:hAnsi="方正黑体简体" w:eastAsia="黑体;SimHei"/>
        </w:rPr>
        <w:t>第十六条</w:t>
      </w:r>
      <w:r>
        <w:rPr>
          <w:rFonts w:ascii="方正黑体简体" w:hAnsi="方正黑体简体" w:hint="eastAsia" w:eastAsia="黑体;SimHei"/>
        </w:rPr>
        <w:t xml:space="preserve"> </w:t>
      </w:r>
      <w:r>
        <w:rPr>
          <w:rFonts w:hint="eastAsia" w:eastAsia="方正楷体简体"/>
        </w:rPr>
        <w:t xml:space="preserve"> </w:t>
      </w:r>
      <w:r>
        <w:rPr>
          <w:rFonts w:hint="eastAsia"/>
        </w:rPr>
        <w:t>县（区）</w:t>
      </w:r>
      <w:r>
        <w:rPr/>
        <w:t>人民政府环境卫生主管部门应当建立生活垃圾分类投放督导员制度，促进生活垃圾正确分类投放。</w:t>
      </w:r>
    </w:p>
    <w:p>
      <w:pPr>
        <w:pStyle w:val="Normal"/>
        <w:spacing w:lineRule="exact" w:line="576"/>
        <w:ind w:firstLineChars="200" w:startChars="0" w:start="0" w:endChars="0" w:end="0"/>
        <w:rPr/>
      </w:pPr>
      <w:r>
        <w:rPr/>
        <w:t xml:space="preserve">督导员可以由保洁员、志愿者、村（居）民等专任或者兼任，由管理责任人根据投放点数量和设置情况合理配备。  </w:t>
      </w:r>
    </w:p>
    <w:p>
      <w:pPr>
        <w:pStyle w:val="Normal"/>
        <w:spacing w:lineRule="exact" w:line="576"/>
        <w:ind w:firstLineChars="200" w:startChars="0" w:start="0" w:endChars="0" w:end="0"/>
        <w:rPr/>
      </w:pPr>
      <w:r>
        <w:rPr/>
        <w:t>督导员负责引导和督促村（居）民按照要求分类投放生活垃圾，对不符合分类投放要求的行为予以劝导和制止。有关单位、家庭和个人应当积极配合督导员工作。</w:t>
      </w:r>
    </w:p>
    <w:p>
      <w:pPr>
        <w:pStyle w:val="Normal"/>
        <w:spacing w:lineRule="exact" w:line="576"/>
        <w:ind w:firstLineChars="200" w:startChars="0" w:start="0" w:endChars="0" w:end="0"/>
        <w:rPr/>
      </w:pPr>
      <w:r>
        <w:rPr>
          <w:rFonts w:ascii="方正黑体简体" w:hAnsi="方正黑体简体" w:eastAsia="黑体;SimHei"/>
        </w:rPr>
        <w:t>第十七条</w:t>
      </w:r>
      <w:r>
        <w:rPr/>
        <w:t xml:space="preserve"> </w:t>
      </w:r>
      <w:r>
        <w:rPr>
          <w:rFonts w:hint="eastAsia"/>
        </w:rPr>
        <w:t xml:space="preserve"> </w:t>
      </w:r>
      <w:r>
        <w:rPr/>
        <w:t>鼓励采取生活垃圾分类投放积分制、智能回收、监测评价等方式，促进单位、家庭和个人养成分类投放习惯，提高生活垃圾分类投放的准确率。</w:t>
      </w:r>
    </w:p>
    <w:p>
      <w:pPr>
        <w:pStyle w:val="Normal"/>
        <w:spacing w:lineRule="exact" w:line="576"/>
        <w:jc w:val="start"/>
        <w:rPr/>
      </w:pPr>
      <w:r>
        <w:rPr/>
      </w:r>
    </w:p>
    <w:p>
      <w:pPr>
        <w:pStyle w:val="Normal"/>
        <w:spacing w:lineRule="exact" w:line="576"/>
        <w:jc w:val="center"/>
        <w:rPr>
          <w:rFonts w:eastAsia="黑体;SimHei" w:hint="eastAsia"/>
        </w:rPr>
      </w:pPr>
      <w:r>
        <w:rPr>
          <w:rFonts w:eastAsia="黑体;SimHei"/>
        </w:rPr>
        <w:t>第三章  分类收集、运输和处理</w:t>
      </w:r>
    </w:p>
    <w:p>
      <w:pPr>
        <w:pStyle w:val="Normal"/>
        <w:spacing w:lineRule="exact" w:line="576"/>
        <w:jc w:val="center"/>
        <w:rPr>
          <w:rFonts w:eastAsia="黑体;SimHei" w:hint="eastAsia"/>
        </w:rPr>
      </w:pPr>
      <w:r>
        <w:rPr>
          <w:rFonts w:eastAsia="黑体;SimHei" w:hint="eastAsia"/>
        </w:rPr>
      </w:r>
    </w:p>
    <w:p>
      <w:pPr>
        <w:pStyle w:val="Normal"/>
        <w:spacing w:lineRule="exact" w:line="576"/>
        <w:ind w:firstLineChars="200" w:startChars="0" w:start="0" w:endChars="0" w:end="0"/>
        <w:rPr/>
      </w:pPr>
      <w:r>
        <w:rPr>
          <w:rFonts w:ascii="方正黑体简体" w:hAnsi="方正黑体简体" w:eastAsia="黑体;SimHei"/>
        </w:rPr>
        <w:t>第十八条</w:t>
      </w:r>
      <w:r>
        <w:rPr>
          <w:rFonts w:ascii="方正黑体简体" w:hAnsi="方正黑体简体" w:hint="eastAsia" w:eastAsia="黑体;SimHei"/>
        </w:rPr>
        <w:t xml:space="preserve"> </w:t>
      </w:r>
      <w:r>
        <w:rPr/>
        <w:t xml:space="preserve"> 市</w:t>
      </w:r>
      <w:r>
        <w:rPr>
          <w:rFonts w:hint="eastAsia"/>
        </w:rPr>
        <w:t>、县（区）</w:t>
      </w:r>
      <w:r>
        <w:rPr/>
        <w:t>人民政府环境卫生主管部门应当组织对生活垃圾进行分类收集、运输和处理，可以通过招标等方式选择具备条件的单位从事生活垃圾收集、运输和处理。</w:t>
      </w:r>
    </w:p>
    <w:p>
      <w:pPr>
        <w:pStyle w:val="Normal"/>
        <w:spacing w:lineRule="exact" w:line="576"/>
        <w:ind w:firstLineChars="200" w:startChars="0" w:start="0" w:endChars="0" w:end="0"/>
        <w:rPr/>
      </w:pPr>
      <w:r>
        <w:rPr>
          <w:rFonts w:ascii="方正黑体简体" w:hAnsi="方正黑体简体" w:eastAsia="黑体;SimHei"/>
        </w:rPr>
        <w:t>第十九条</w:t>
      </w:r>
      <w:r>
        <w:rPr/>
        <w:t xml:space="preserve"> </w:t>
      </w:r>
      <w:r>
        <w:rPr>
          <w:rFonts w:hint="eastAsia"/>
        </w:rPr>
        <w:t xml:space="preserve"> </w:t>
      </w:r>
      <w:r>
        <w:rPr/>
        <w:t>生活垃圾分类收集、运输单位应当遵守下列规定：</w:t>
      </w:r>
    </w:p>
    <w:p>
      <w:pPr>
        <w:pStyle w:val="Normal"/>
        <w:spacing w:lineRule="exact" w:line="576"/>
        <w:ind w:firstLineChars="200" w:startChars="0" w:start="0" w:endChars="0" w:end="0"/>
        <w:rPr/>
      </w:pPr>
      <w:r>
        <w:rPr/>
        <w:t>（一）根据生活垃圾的种类、数量、作业时间等要求，配备相应的运输车辆、安全设备和作业人员；</w:t>
      </w:r>
    </w:p>
    <w:p>
      <w:pPr>
        <w:pStyle w:val="Normal"/>
        <w:spacing w:lineRule="exact" w:line="576"/>
        <w:ind w:firstLineChars="200" w:startChars="0" w:start="0" w:endChars="0" w:end="0"/>
        <w:rPr/>
      </w:pPr>
      <w:r>
        <w:rPr/>
        <w:t>（二）运输车辆应当喷涂分类标识，在运输过程中保持密闭、整洁，不得丢弃、遗撒生活垃圾；</w:t>
      </w:r>
    </w:p>
    <w:p>
      <w:pPr>
        <w:pStyle w:val="Normal"/>
        <w:spacing w:lineRule="exact" w:line="576"/>
        <w:ind w:firstLineChars="200" w:startChars="0" w:start="0" w:endChars="0" w:end="0"/>
        <w:rPr/>
      </w:pPr>
      <w:r>
        <w:rPr/>
        <w:t>（三）为运输车辆安装定位和监控系统，并与生活垃圾分类管理信息平台联网；</w:t>
      </w:r>
    </w:p>
    <w:p>
      <w:pPr>
        <w:pStyle w:val="Normal"/>
        <w:spacing w:lineRule="exact" w:line="576"/>
        <w:ind w:firstLineChars="200" w:startChars="0" w:start="0" w:endChars="0" w:end="0"/>
        <w:rPr/>
      </w:pPr>
      <w:r>
        <w:rPr/>
        <w:t>（四）按照规定的时间、频次、路线和要求分类收集、运输生活垃圾，不得混合收集、运输已分类的生活垃圾；</w:t>
      </w:r>
    </w:p>
    <w:p>
      <w:pPr>
        <w:pStyle w:val="Normal"/>
        <w:spacing w:lineRule="exact" w:line="576"/>
        <w:ind w:firstLineChars="200" w:startChars="0" w:start="0" w:endChars="0" w:end="0"/>
        <w:rPr/>
      </w:pPr>
      <w:r>
        <w:rPr/>
        <w:t>（五）公开联系电话，建立管理台账，记录生活垃圾来源、种类、数量、去向等情况，并定期向</w:t>
      </w:r>
      <w:r>
        <w:rPr>
          <w:rFonts w:hint="eastAsia"/>
        </w:rPr>
        <w:t>县（区）</w:t>
      </w:r>
      <w:r>
        <w:rPr/>
        <w:t>人民政府环境卫生主管部门报告；</w:t>
      </w:r>
    </w:p>
    <w:p>
      <w:pPr>
        <w:pStyle w:val="Normal"/>
        <w:spacing w:lineRule="exact" w:line="576"/>
        <w:ind w:firstLineChars="200" w:startChars="0" w:start="0" w:endChars="0" w:end="0"/>
        <w:rPr/>
      </w:pPr>
      <w:r>
        <w:rPr/>
        <w:t>（六）制定应急预案并报</w:t>
      </w:r>
      <w:r>
        <w:rPr>
          <w:rFonts w:hint="eastAsia"/>
        </w:rPr>
        <w:t>县（区）</w:t>
      </w:r>
      <w:r>
        <w:rPr/>
        <w:t>人民政府环境卫生主管部门备案。</w:t>
      </w:r>
    </w:p>
    <w:p>
      <w:pPr>
        <w:pStyle w:val="Normal"/>
        <w:spacing w:lineRule="exact" w:line="576"/>
        <w:ind w:firstLineChars="200" w:startChars="0" w:start="0" w:endChars="0" w:end="0"/>
        <w:rPr/>
      </w:pPr>
      <w:r>
        <w:rPr/>
        <w:t>分类收集、运输单位发现生活垃圾不符合分类要求的，应当向管理责任人提出；拒不改正的，向</w:t>
      </w:r>
      <w:r>
        <w:rPr>
          <w:rFonts w:hint="eastAsia"/>
        </w:rPr>
        <w:t>县（区）</w:t>
      </w:r>
      <w:r>
        <w:rPr/>
        <w:t>人民政府环境卫生主管部门报告。</w:t>
      </w:r>
    </w:p>
    <w:p>
      <w:pPr>
        <w:pStyle w:val="Normal"/>
        <w:spacing w:lineRule="exact" w:line="576"/>
        <w:ind w:firstLineChars="200" w:startChars="0" w:start="0" w:endChars="0" w:end="0"/>
        <w:rPr/>
      </w:pPr>
      <w:r>
        <w:rPr>
          <w:rFonts w:ascii="方正黑体简体" w:hAnsi="方正黑体简体" w:eastAsia="黑体;SimHei"/>
        </w:rPr>
        <w:t>第二十条</w:t>
      </w:r>
      <w:r>
        <w:rPr>
          <w:rFonts w:ascii="方正黑体简体" w:hAnsi="方正黑体简体" w:hint="eastAsia" w:eastAsia="黑体;SimHei"/>
        </w:rPr>
        <w:t xml:space="preserve"> </w:t>
      </w:r>
      <w:r>
        <w:rPr>
          <w:rFonts w:eastAsia="方正楷体简体"/>
        </w:rPr>
        <w:t xml:space="preserve"> </w:t>
      </w:r>
      <w:r>
        <w:rPr/>
        <w:t>生活垃圾集中转运设施的运营管理单位应当遵守下列规定：</w:t>
      </w:r>
    </w:p>
    <w:p>
      <w:pPr>
        <w:pStyle w:val="Normal"/>
        <w:spacing w:lineRule="exact" w:line="576"/>
        <w:ind w:firstLineChars="200" w:startChars="0" w:start="0" w:endChars="0" w:end="0"/>
        <w:rPr/>
      </w:pPr>
      <w:r>
        <w:rPr/>
        <w:t>（一）按照规定分类接收、规范存放、分类转运生活垃圾；</w:t>
      </w:r>
    </w:p>
    <w:p>
      <w:pPr>
        <w:pStyle w:val="Normal"/>
        <w:spacing w:lineRule="exact" w:line="576"/>
        <w:ind w:firstLineChars="200" w:startChars="0" w:start="0" w:endChars="0" w:end="0"/>
        <w:rPr/>
      </w:pPr>
      <w:r>
        <w:rPr/>
        <w:t>（二）厨余垃圾和其他垃圾应当密闭存放，存放时间不得超过二十四小时；</w:t>
      </w:r>
    </w:p>
    <w:p>
      <w:pPr>
        <w:pStyle w:val="Normal"/>
        <w:spacing w:lineRule="exact" w:line="576"/>
        <w:ind w:firstLineChars="200" w:startChars="0" w:start="0" w:endChars="0" w:end="0"/>
        <w:rPr/>
      </w:pPr>
      <w:r>
        <w:rPr/>
        <w:t>（三）按照规定配备相应的环境污染防治设施设备，规范处理生活垃圾转运过程中产生的污染物；</w:t>
      </w:r>
    </w:p>
    <w:p>
      <w:pPr>
        <w:pStyle w:val="Normal"/>
        <w:spacing w:lineRule="exact" w:line="576"/>
        <w:ind w:firstLineChars="200" w:startChars="0" w:start="0" w:endChars="0" w:end="0"/>
        <w:rPr/>
      </w:pPr>
      <w:r>
        <w:rPr/>
        <w:t>（四）制定应急预案并报所在地</w:t>
      </w:r>
      <w:r>
        <w:rPr>
          <w:rFonts w:hint="eastAsia"/>
        </w:rPr>
        <w:t>县（区）</w:t>
      </w:r>
      <w:r>
        <w:rPr/>
        <w:t>人民政府环境卫生主管部门备案；</w:t>
      </w:r>
    </w:p>
    <w:p>
      <w:pPr>
        <w:pStyle w:val="Normal"/>
        <w:spacing w:lineRule="exact" w:line="576"/>
        <w:ind w:firstLineChars="200" w:startChars="0" w:start="0" w:endChars="0" w:end="0"/>
        <w:rPr/>
      </w:pPr>
      <w:r>
        <w:rPr/>
        <w:t>（五）执行其他操作规程和行业规范。</w:t>
      </w:r>
    </w:p>
    <w:p>
      <w:pPr>
        <w:pStyle w:val="Normal"/>
        <w:spacing w:lineRule="exact" w:line="576"/>
        <w:ind w:firstLineChars="200" w:startChars="0" w:start="0" w:endChars="0" w:end="0"/>
        <w:rPr/>
      </w:pPr>
      <w:r>
        <w:rPr>
          <w:rFonts w:ascii="方正黑体简体" w:hAnsi="方正黑体简体" w:eastAsia="黑体;SimHei"/>
        </w:rPr>
        <w:t>第二十一条</w:t>
      </w:r>
      <w:r>
        <w:rPr>
          <w:rFonts w:ascii="方正黑体简体" w:hAnsi="方正黑体简体" w:hint="eastAsia" w:eastAsia="黑体;SimHei"/>
        </w:rPr>
        <w:t xml:space="preserve"> </w:t>
      </w:r>
      <w:r>
        <w:rPr>
          <w:rFonts w:eastAsia="方正楷体简体"/>
        </w:rPr>
        <w:t xml:space="preserve"> </w:t>
      </w:r>
      <w:r>
        <w:rPr/>
        <w:t>生活垃圾应当按照下列规定分类处理：</w:t>
      </w:r>
    </w:p>
    <w:p>
      <w:pPr>
        <w:pStyle w:val="Normal"/>
        <w:spacing w:lineRule="exact" w:line="576"/>
        <w:ind w:firstLineChars="200" w:startChars="0" w:start="0" w:endChars="0" w:end="0"/>
        <w:rPr/>
      </w:pPr>
      <w:r>
        <w:rPr/>
        <w:t>（一）可回收物交由再生资源回收利用企业或者资源综合利用企业进行循环利用或者再生利用；</w:t>
      </w:r>
    </w:p>
    <w:p>
      <w:pPr>
        <w:pStyle w:val="Normal"/>
        <w:spacing w:lineRule="exact" w:line="576"/>
        <w:ind w:firstLineChars="200" w:startChars="0" w:start="0" w:endChars="0" w:end="0"/>
        <w:rPr/>
      </w:pPr>
      <w:r>
        <w:rPr/>
        <w:t>（二）有害垃圾采用无害化方式处理，其中，属于危险废物的，交由具有危险废物处置经营许可证的单位进行无害化处理；</w:t>
      </w:r>
    </w:p>
    <w:p>
      <w:pPr>
        <w:pStyle w:val="Normal"/>
        <w:spacing w:lineRule="exact" w:line="576"/>
        <w:ind w:firstLineChars="200" w:startChars="0" w:start="0" w:endChars="0" w:end="0"/>
        <w:rPr/>
      </w:pPr>
      <w:r>
        <w:rPr/>
        <w:t>（三）厨余垃圾采用生化处理、脱水后焚烧等方式进行资源化利用、无害化处理；</w:t>
      </w:r>
    </w:p>
    <w:p>
      <w:pPr>
        <w:pStyle w:val="Normal"/>
        <w:spacing w:lineRule="exact" w:line="576"/>
        <w:ind w:firstLineChars="200" w:startChars="0" w:start="0" w:endChars="0" w:end="0"/>
        <w:rPr/>
      </w:pPr>
      <w:r>
        <w:rPr/>
        <w:t>（四）其他垃圾由具有相应资质条件的处理单位采用焚烧等方式实施无害化处理。</w:t>
      </w:r>
    </w:p>
    <w:p>
      <w:pPr>
        <w:pStyle w:val="Normal"/>
        <w:spacing w:lineRule="exact" w:line="576"/>
        <w:ind w:firstLineChars="200" w:startChars="0" w:start="0" w:endChars="0" w:end="0"/>
        <w:rPr/>
      </w:pPr>
      <w:r>
        <w:rPr>
          <w:rFonts w:ascii="方正黑体简体" w:hAnsi="方正黑体简体" w:eastAsia="黑体;SimHei"/>
        </w:rPr>
        <w:t>第二十二条</w:t>
      </w:r>
      <w:r>
        <w:rPr>
          <w:rFonts w:ascii="方正黑体简体" w:hAnsi="方正黑体简体" w:hint="eastAsia" w:eastAsia="黑体;SimHei"/>
        </w:rPr>
        <w:t xml:space="preserve"> </w:t>
      </w:r>
      <w:r>
        <w:rPr>
          <w:rFonts w:eastAsia="方正楷体简体"/>
        </w:rPr>
        <w:t xml:space="preserve"> </w:t>
      </w:r>
      <w:r>
        <w:rPr/>
        <w:t>生活垃圾分类处理单位应当遵守下列规定：</w:t>
      </w:r>
    </w:p>
    <w:p>
      <w:pPr>
        <w:pStyle w:val="Normal"/>
        <w:spacing w:lineRule="exact" w:line="576"/>
        <w:ind w:firstLineChars="200" w:startChars="0" w:start="0" w:endChars="0" w:end="0"/>
        <w:rPr/>
      </w:pPr>
      <w:r>
        <w:rPr/>
        <w:t>（一）根据生活垃圾的种类、数量、作业时间等要求，配备相应的处理设施设备、安全设备和作业人员，对接收的已分类的生活垃圾进行分类处理；</w:t>
      </w:r>
    </w:p>
    <w:p>
      <w:pPr>
        <w:pStyle w:val="Normal"/>
        <w:spacing w:lineRule="exact" w:line="576"/>
        <w:ind w:firstLineChars="200" w:startChars="0" w:start="0" w:endChars="0" w:end="0"/>
        <w:rPr/>
      </w:pPr>
      <w:r>
        <w:rPr/>
        <w:t>（二）安装生活垃圾处理计量系统，与生活垃圾分类管理信息平台联网；</w:t>
      </w:r>
    </w:p>
    <w:p>
      <w:pPr>
        <w:pStyle w:val="Normal"/>
        <w:spacing w:lineRule="exact" w:line="576"/>
        <w:ind w:firstLineChars="200" w:startChars="0" w:start="0" w:endChars="0" w:end="0"/>
        <w:rPr/>
      </w:pPr>
      <w:r>
        <w:rPr/>
        <w:t>（三）建立管理台账，记录每日接收、处理生活垃圾的种类、数量，以及资源化利用产品质量检验报告、出厂销售流向等情况，并按照要求向</w:t>
      </w:r>
      <w:r>
        <w:rPr>
          <w:rFonts w:hint="eastAsia"/>
        </w:rPr>
        <w:t>县（区）</w:t>
      </w:r>
      <w:r>
        <w:rPr/>
        <w:t>人民政府环境卫生主管部门报送台账信息；</w:t>
      </w:r>
    </w:p>
    <w:p>
      <w:pPr>
        <w:pStyle w:val="Normal"/>
        <w:spacing w:lineRule="exact" w:line="576"/>
        <w:ind w:firstLineChars="200" w:startChars="0" w:start="0" w:endChars="0" w:end="0"/>
        <w:rPr/>
      </w:pPr>
      <w:r>
        <w:rPr/>
        <w:t>（四）不得擅自停业、歇业；</w:t>
      </w:r>
    </w:p>
    <w:p>
      <w:pPr>
        <w:pStyle w:val="Normal"/>
        <w:spacing w:lineRule="exact" w:line="576"/>
        <w:ind w:firstLineChars="200" w:startChars="0" w:start="0" w:endChars="0" w:end="0"/>
        <w:rPr/>
      </w:pPr>
      <w:r>
        <w:rPr/>
        <w:t>（五）定期向社会公开排放的主要污染物名称、排放方式、排放浓度和总量，以及生活垃圾处理设施的运行情况等；</w:t>
      </w:r>
    </w:p>
    <w:p>
      <w:pPr>
        <w:pStyle w:val="Normal"/>
        <w:spacing w:lineRule="exact" w:line="576"/>
        <w:ind w:firstLineChars="200" w:startChars="0" w:start="0" w:endChars="0" w:end="0"/>
        <w:rPr/>
      </w:pPr>
      <w:r>
        <w:rPr/>
        <w:t>（六）遵守安全生产管理相关法律法规，安全处理已分类的生活垃圾，制定应急预案并向</w:t>
      </w:r>
      <w:r>
        <w:rPr>
          <w:rFonts w:hint="eastAsia"/>
        </w:rPr>
        <w:t>县（区）</w:t>
      </w:r>
      <w:r>
        <w:rPr/>
        <w:t>人民政府环境卫生主管部门备案；</w:t>
      </w:r>
    </w:p>
    <w:p>
      <w:pPr>
        <w:pStyle w:val="Normal"/>
        <w:spacing w:lineRule="exact" w:line="576"/>
        <w:ind w:firstLineChars="200" w:startChars="0" w:start="0" w:endChars="0" w:end="0"/>
        <w:rPr/>
      </w:pPr>
      <w:r>
        <w:rPr/>
        <w:t>（七）执行其他操作规程和行业规范。</w:t>
      </w:r>
    </w:p>
    <w:p>
      <w:pPr>
        <w:pStyle w:val="Normal"/>
        <w:spacing w:lineRule="exact" w:line="576"/>
        <w:jc w:val="start"/>
        <w:rPr/>
      </w:pPr>
      <w:r>
        <w:rPr/>
      </w:r>
    </w:p>
    <w:p>
      <w:pPr>
        <w:pStyle w:val="Normal"/>
        <w:spacing w:lineRule="exact" w:line="576"/>
        <w:jc w:val="center"/>
        <w:rPr>
          <w:rFonts w:eastAsia="黑体;SimHei" w:hint="eastAsia"/>
        </w:rPr>
      </w:pPr>
      <w:r>
        <w:rPr>
          <w:rFonts w:eastAsia="黑体;SimHei"/>
        </w:rPr>
        <w:t>第四章  促进与保障</w:t>
      </w:r>
    </w:p>
    <w:p>
      <w:pPr>
        <w:pStyle w:val="Normal"/>
        <w:spacing w:lineRule="exact" w:line="576"/>
        <w:jc w:val="center"/>
        <w:rPr>
          <w:rFonts w:eastAsia="黑体;SimHei" w:hint="eastAsia"/>
        </w:rPr>
      </w:pPr>
      <w:r>
        <w:rPr>
          <w:rFonts w:eastAsia="黑体;SimHei" w:hint="eastAsia"/>
        </w:rPr>
      </w:r>
    </w:p>
    <w:p>
      <w:pPr>
        <w:pStyle w:val="Normal"/>
        <w:spacing w:lineRule="exact" w:line="576"/>
        <w:ind w:firstLineChars="200" w:startChars="0" w:start="0" w:endChars="0" w:end="0"/>
        <w:rPr/>
      </w:pPr>
      <w:r>
        <w:rPr>
          <w:rFonts w:ascii="方正黑体简体" w:hAnsi="方正黑体简体" w:eastAsia="黑体;SimHei"/>
        </w:rPr>
        <w:t>第二十三条</w:t>
      </w:r>
      <w:r>
        <w:rPr>
          <w:rFonts w:eastAsia="方正楷体简体"/>
        </w:rPr>
        <w:t xml:space="preserve"> </w:t>
      </w:r>
      <w:r>
        <w:rPr>
          <w:rFonts w:hint="eastAsia" w:eastAsia="方正楷体简体"/>
        </w:rPr>
        <w:t xml:space="preserve"> </w:t>
      </w:r>
      <w:r>
        <w:rPr/>
        <w:t>市、县人民政府环境卫生主管部门应当会同同级发展改革、自然资源和规划、生态环境、住房城乡建设等部门组织编制生活垃圾分类管理专项规划，报本级人民政府批准后实施。</w:t>
      </w:r>
    </w:p>
    <w:p>
      <w:pPr>
        <w:pStyle w:val="Normal"/>
        <w:spacing w:lineRule="exact" w:line="576"/>
        <w:ind w:firstLineChars="200" w:startChars="0" w:start="0" w:endChars="0" w:end="0"/>
        <w:rPr/>
      </w:pPr>
      <w:r>
        <w:rPr>
          <w:rFonts w:ascii="方正黑体简体" w:hAnsi="方正黑体简体" w:eastAsia="黑体;SimHei"/>
        </w:rPr>
        <w:t>第二十四条</w:t>
      </w:r>
      <w:r>
        <w:rPr>
          <w:rFonts w:ascii="方正黑体简体" w:hAnsi="方正黑体简体" w:hint="eastAsia" w:eastAsia="黑体;SimHei"/>
        </w:rPr>
        <w:t xml:space="preserve"> </w:t>
      </w:r>
      <w:r>
        <w:rPr/>
        <w:t xml:space="preserve"> 市人民政府应当按照有关标准、规范和规划要求，统筹安排，与</w:t>
      </w:r>
      <w:r>
        <w:rPr>
          <w:rFonts w:hint="eastAsia"/>
        </w:rPr>
        <w:t>县（区）</w:t>
      </w:r>
      <w:r>
        <w:rPr/>
        <w:t>人民政府共同建设符合分类管理要求的生活垃圾收集、转运和处理设施。</w:t>
      </w:r>
    </w:p>
    <w:p>
      <w:pPr>
        <w:pStyle w:val="Normal"/>
        <w:spacing w:lineRule="exact" w:line="576"/>
        <w:ind w:firstLineChars="200" w:startChars="0" w:start="0" w:endChars="0" w:end="0"/>
        <w:rPr/>
      </w:pPr>
      <w:r>
        <w:rPr/>
        <w:t>新建、扩建和改建建设项目应当按照标准配套建设生活垃圾分类设施。配套建设的生活垃圾分类设施应当与主体工程同时设计、同时建设、同时验收、同时使用。</w:t>
      </w:r>
    </w:p>
    <w:p>
      <w:pPr>
        <w:pStyle w:val="Normal"/>
        <w:spacing w:lineRule="exact" w:line="576"/>
        <w:ind w:firstLineChars="200" w:startChars="0" w:start="0" w:endChars="0" w:end="0"/>
        <w:rPr/>
      </w:pPr>
      <w:r>
        <w:rPr/>
        <w:t>已有的生活垃圾收集、转运和处理设施不符合分类管理要求的，由市</w:t>
      </w:r>
      <w:r>
        <w:rPr>
          <w:rFonts w:hint="eastAsia"/>
        </w:rPr>
        <w:t>、县（区）</w:t>
      </w:r>
      <w:r>
        <w:rPr/>
        <w:t>人民政府组织改造。</w:t>
      </w:r>
    </w:p>
    <w:p>
      <w:pPr>
        <w:pStyle w:val="Normal"/>
        <w:spacing w:lineRule="exact" w:line="576"/>
        <w:ind w:firstLineChars="200" w:startChars="0" w:start="0" w:endChars="0" w:end="0"/>
        <w:rPr/>
      </w:pPr>
      <w:r>
        <w:rPr>
          <w:rFonts w:ascii="方正黑体简体" w:hAnsi="方正黑体简体" w:eastAsia="黑体;SimHei"/>
        </w:rPr>
        <w:t>第二十五条</w:t>
      </w:r>
      <w:r>
        <w:rPr/>
        <w:t xml:space="preserve"> </w:t>
      </w:r>
      <w:r>
        <w:rPr>
          <w:rFonts w:hint="eastAsia"/>
        </w:rPr>
        <w:t xml:space="preserve"> </w:t>
      </w:r>
      <w:r>
        <w:rPr/>
        <w:t>市</w:t>
      </w:r>
      <w:r>
        <w:rPr>
          <w:rFonts w:hint="eastAsia"/>
        </w:rPr>
        <w:t>、县（区）</w:t>
      </w:r>
      <w:r>
        <w:rPr/>
        <w:t>人民政府商务部门应当会同同级发展改革、自然资源和规划、市场监督管理等部门，制定再生资源回收网点规划，加强再生资源回收体系建设，完善再生资源回收政策和标准。</w:t>
      </w:r>
    </w:p>
    <w:p>
      <w:pPr>
        <w:pStyle w:val="Normal"/>
        <w:spacing w:lineRule="exact" w:line="576"/>
        <w:ind w:firstLineChars="200" w:startChars="0" w:start="0" w:endChars="0" w:end="0"/>
        <w:rPr/>
      </w:pPr>
      <w:r>
        <w:rPr/>
        <w:t>鼓励和支持再生资源回收经营者在居民区、商场、超市等设置回收网点，开展定点回收和上门回收等服务。</w:t>
      </w:r>
    </w:p>
    <w:p>
      <w:pPr>
        <w:pStyle w:val="Normal"/>
        <w:spacing w:lineRule="exact" w:line="576"/>
        <w:ind w:firstLineChars="200" w:startChars="0" w:start="0" w:endChars="0" w:end="0"/>
        <w:rPr/>
      </w:pPr>
      <w:r>
        <w:rPr>
          <w:rFonts w:ascii="方正黑体简体" w:hAnsi="方正黑体简体" w:eastAsia="黑体;SimHei"/>
        </w:rPr>
        <w:t>第二十六条</w:t>
      </w:r>
      <w:r>
        <w:rPr/>
        <w:t xml:space="preserve"> </w:t>
      </w:r>
      <w:r>
        <w:rPr>
          <w:rFonts w:hint="eastAsia"/>
        </w:rPr>
        <w:t xml:space="preserve"> </w:t>
      </w:r>
      <w:r>
        <w:rPr/>
        <w:t>国家机关、国有企业、事业单位和使用财政性资金的其他组织等应当实行绿色办公，减少使用或者不使用一次性办公用品，优先采购可以循环利用、资源化利用的办公用品，推行无纸化办公。</w:t>
      </w:r>
    </w:p>
    <w:p>
      <w:pPr>
        <w:pStyle w:val="Normal"/>
        <w:spacing w:lineRule="exact" w:line="576"/>
        <w:ind w:firstLineChars="200" w:startChars="0" w:start="0" w:endChars="0" w:end="0"/>
        <w:rPr/>
      </w:pPr>
      <w:r>
        <w:rPr>
          <w:rFonts w:ascii="方正黑体简体" w:hAnsi="方正黑体简体" w:eastAsia="黑体;SimHei"/>
        </w:rPr>
        <w:t>第二十七条</w:t>
      </w:r>
      <w:r>
        <w:rPr>
          <w:rFonts w:ascii="方正黑体简体" w:hAnsi="方正黑体简体" w:hint="eastAsia" w:eastAsia="黑体;SimHei"/>
        </w:rPr>
        <w:t xml:space="preserve"> </w:t>
      </w:r>
      <w:r>
        <w:rPr>
          <w:rFonts w:eastAsia="方正楷体简体"/>
        </w:rPr>
        <w:t xml:space="preserve"> </w:t>
      </w:r>
      <w:r>
        <w:rPr/>
        <w:t>市</w:t>
      </w:r>
      <w:r>
        <w:rPr>
          <w:rFonts w:hint="eastAsia"/>
        </w:rPr>
        <w:t>、县（区）</w:t>
      </w:r>
      <w:r>
        <w:rPr/>
        <w:t>人民政府农业农村、商务等有关部门应当加强对果蔬生产基地、农贸市场、菜市场、超市等场所的管理，组织净菜上市和洁净农副产品进城。</w:t>
      </w:r>
    </w:p>
    <w:p>
      <w:pPr>
        <w:pStyle w:val="Normal"/>
        <w:spacing w:lineRule="exact" w:line="576"/>
        <w:ind w:firstLineChars="200" w:startChars="0" w:start="0" w:endChars="0" w:end="0"/>
        <w:rPr/>
      </w:pPr>
      <w:r>
        <w:rPr>
          <w:rFonts w:ascii="方正黑体简体" w:hAnsi="方正黑体简体" w:eastAsia="黑体;SimHei"/>
        </w:rPr>
        <w:t>第二十八条</w:t>
      </w:r>
      <w:r>
        <w:rPr/>
        <w:t xml:space="preserve"> </w:t>
      </w:r>
      <w:r>
        <w:rPr>
          <w:rFonts w:hint="eastAsia"/>
        </w:rPr>
        <w:t xml:space="preserve"> </w:t>
      </w:r>
      <w:r>
        <w:rPr/>
        <w:t>宾馆、娱乐、餐饮等服务性企业应当遵守行业协会章程、规约，接受行业协会在生活垃圾分类和源头减量方面的监督和指导，设置可重复使用消费用品的推荐标识，不提供、减少提供或者有偿提供一次性消费用品的服务。</w:t>
      </w:r>
    </w:p>
    <w:p>
      <w:pPr>
        <w:pStyle w:val="Normal"/>
        <w:spacing w:lineRule="exact" w:line="576"/>
        <w:ind w:firstLineChars="200" w:startChars="0" w:start="0" w:endChars="0" w:end="0"/>
        <w:rPr/>
      </w:pPr>
      <w:r>
        <w:rPr/>
        <w:t>鼓励单位和个人购置可循环、易回收、可降解的产品。</w:t>
      </w:r>
    </w:p>
    <w:p>
      <w:pPr>
        <w:pStyle w:val="Normal"/>
        <w:spacing w:lineRule="exact" w:line="576"/>
        <w:jc w:val="start"/>
        <w:rPr/>
      </w:pPr>
      <w:r>
        <w:rPr/>
      </w:r>
    </w:p>
    <w:p>
      <w:pPr>
        <w:pStyle w:val="Normal"/>
        <w:spacing w:lineRule="exact" w:line="576"/>
        <w:jc w:val="center"/>
        <w:rPr>
          <w:rFonts w:eastAsia="黑体;SimHei" w:hint="eastAsia"/>
        </w:rPr>
      </w:pPr>
      <w:r>
        <w:rPr>
          <w:rFonts w:eastAsia="黑体;SimHei"/>
        </w:rPr>
        <w:t>第五章  监督管理</w:t>
      </w:r>
    </w:p>
    <w:p>
      <w:pPr>
        <w:pStyle w:val="Normal"/>
        <w:spacing w:lineRule="exact" w:line="576"/>
        <w:jc w:val="center"/>
        <w:rPr>
          <w:rFonts w:eastAsia="黑体;SimHei" w:hint="eastAsia"/>
        </w:rPr>
      </w:pPr>
      <w:r>
        <w:rPr>
          <w:rFonts w:eastAsia="黑体;SimHei" w:hint="eastAsia"/>
        </w:rPr>
      </w:r>
    </w:p>
    <w:p>
      <w:pPr>
        <w:pStyle w:val="Normal"/>
        <w:spacing w:lineRule="exact" w:line="576"/>
        <w:ind w:firstLineChars="200" w:startChars="0" w:start="0" w:endChars="0" w:end="0"/>
        <w:rPr/>
      </w:pPr>
      <w:r>
        <w:rPr>
          <w:rFonts w:ascii="方正黑体简体" w:hAnsi="方正黑体简体" w:eastAsia="黑体;SimHei"/>
        </w:rPr>
        <w:t>第二十九条</w:t>
      </w:r>
      <w:r>
        <w:rPr>
          <w:rFonts w:eastAsia="方正楷体简体"/>
        </w:rPr>
        <w:t xml:space="preserve"> </w:t>
      </w:r>
      <w:r>
        <w:rPr>
          <w:rFonts w:hint="eastAsia" w:eastAsia="方正楷体简体"/>
        </w:rPr>
        <w:t xml:space="preserve"> </w:t>
      </w:r>
      <w:r>
        <w:rPr/>
        <w:t>市</w:t>
      </w:r>
      <w:r>
        <w:rPr>
          <w:rFonts w:hint="eastAsia"/>
        </w:rPr>
        <w:t>、县（区）</w:t>
      </w:r>
      <w:r>
        <w:rPr/>
        <w:t>人民政府应当将生活垃圾分类管理和污染防治情况纳入环境状况和环境保护目标完成情况年度报告，向本级人民代表大会或者人民代表大会常务委员会报告。</w:t>
      </w:r>
    </w:p>
    <w:p>
      <w:pPr>
        <w:pStyle w:val="Normal"/>
        <w:spacing w:lineRule="exact" w:line="576"/>
        <w:ind w:firstLineChars="200" w:startChars="0" w:start="0" w:endChars="0" w:end="0"/>
        <w:rPr/>
      </w:pPr>
      <w:r>
        <w:rPr>
          <w:rFonts w:ascii="方正黑体简体" w:hAnsi="方正黑体简体" w:eastAsia="黑体;SimHei"/>
        </w:rPr>
        <w:t>第三十条</w:t>
      </w:r>
      <w:r>
        <w:rPr>
          <w:rFonts w:ascii="方正黑体简体" w:hAnsi="方正黑体简体" w:hint="eastAsia" w:eastAsia="黑体;SimHei"/>
        </w:rPr>
        <w:t xml:space="preserve"> </w:t>
      </w:r>
      <w:r>
        <w:rPr/>
        <w:t xml:space="preserve"> 市</w:t>
      </w:r>
      <w:r>
        <w:rPr>
          <w:rFonts w:hint="eastAsia"/>
        </w:rPr>
        <w:t>、县（区）</w:t>
      </w:r>
      <w:r>
        <w:rPr/>
        <w:t>人民政府环境卫生主管部门应当建立和完善生活垃圾分类管理监督检查制度，加强对生活垃圾分类投放单位和个人、管理责任人以及收集、运输、处理单位相关活动的监督检查。</w:t>
      </w:r>
    </w:p>
    <w:p>
      <w:pPr>
        <w:pStyle w:val="Normal"/>
        <w:spacing w:lineRule="exact" w:line="576"/>
        <w:ind w:firstLineChars="200" w:startChars="0" w:start="0" w:endChars="0" w:end="0"/>
        <w:rPr/>
      </w:pPr>
      <w:r>
        <w:rPr/>
        <w:t>逐步采用物联网追溯或者大数据采集分析应用等技术措施，对生活垃圾分类投放、收集、运输和处理实施全过程监管。</w:t>
      </w:r>
    </w:p>
    <w:p>
      <w:pPr>
        <w:pStyle w:val="Normal"/>
        <w:spacing w:lineRule="exact" w:line="576"/>
        <w:ind w:firstLineChars="200" w:startChars="0" w:start="0" w:endChars="0" w:end="0"/>
        <w:rPr/>
      </w:pPr>
      <w:r>
        <w:rPr>
          <w:rFonts w:ascii="方正黑体简体" w:hAnsi="方正黑体简体" w:eastAsia="黑体;SimHei"/>
        </w:rPr>
        <w:t>第三十一条</w:t>
      </w:r>
      <w:r>
        <w:rPr/>
        <w:t xml:space="preserve"> </w:t>
      </w:r>
      <w:r>
        <w:rPr>
          <w:rFonts w:hint="eastAsia"/>
        </w:rPr>
        <w:t xml:space="preserve"> </w:t>
      </w:r>
      <w:r>
        <w:rPr/>
        <w:t>市</w:t>
      </w:r>
      <w:r>
        <w:rPr>
          <w:rFonts w:hint="eastAsia"/>
        </w:rPr>
        <w:t>、县（区）</w:t>
      </w:r>
      <w:r>
        <w:rPr/>
        <w:t>人民政府环境卫生主管部门及相关管理部门应当健全生活垃圾分类管理信息共享机制，建立生活垃圾分类管理信息平台，对生活垃圾分类管理情况进行调查统计和定期评估。</w:t>
      </w:r>
    </w:p>
    <w:p>
      <w:pPr>
        <w:pStyle w:val="Normal"/>
        <w:spacing w:lineRule="exact" w:line="576"/>
        <w:ind w:firstLineChars="200" w:startChars="0" w:start="0" w:endChars="0" w:end="0"/>
        <w:rPr/>
      </w:pPr>
      <w:r>
        <w:rPr/>
        <w:t>市</w:t>
      </w:r>
      <w:r>
        <w:rPr>
          <w:rFonts w:hint="eastAsia"/>
        </w:rPr>
        <w:t>、县（区）</w:t>
      </w:r>
      <w:r>
        <w:rPr/>
        <w:t>人民政府住房城乡建设部门应当将物业服务企业履行管理责任人职责情况和违反生活垃圾管理规定受到行政处罚的有关信息纳入物业服务人信用信息档案。</w:t>
      </w:r>
    </w:p>
    <w:p>
      <w:pPr>
        <w:pStyle w:val="Normal"/>
        <w:spacing w:lineRule="exact" w:line="576"/>
        <w:ind w:firstLineChars="200" w:startChars="0" w:start="0" w:endChars="0" w:end="0"/>
        <w:rPr/>
      </w:pPr>
      <w:r>
        <w:rPr/>
        <w:t>相关部门应当适时开展联合执法，根据职责分工对管理责任人和收集、运输、处理单位进行常态化的监督检查，及时向社会公开监督检查情况以及查处结果。</w:t>
      </w:r>
    </w:p>
    <w:p>
      <w:pPr>
        <w:pStyle w:val="Normal"/>
        <w:spacing w:lineRule="exact" w:line="576"/>
        <w:ind w:firstLineChars="200" w:startChars="0" w:start="0" w:endChars="0" w:end="0"/>
        <w:rPr/>
      </w:pPr>
      <w:r>
        <w:rPr>
          <w:rFonts w:ascii="方正黑体简体" w:hAnsi="方正黑体简体" w:eastAsia="黑体;SimHei"/>
        </w:rPr>
        <w:t>第三十二条</w:t>
      </w:r>
      <w:r>
        <w:rPr/>
        <w:t xml:space="preserve"> </w:t>
      </w:r>
      <w:r>
        <w:rPr>
          <w:rFonts w:hint="eastAsia"/>
        </w:rPr>
        <w:t xml:space="preserve"> </w:t>
      </w:r>
      <w:r>
        <w:rPr/>
        <w:t>市</w:t>
      </w:r>
      <w:r>
        <w:rPr>
          <w:rFonts w:hint="eastAsia"/>
        </w:rPr>
        <w:t>、县（区）</w:t>
      </w:r>
      <w:r>
        <w:rPr/>
        <w:t>人民政府环境卫生主管部门应当会同相关管理部门建立应急机制，制定本行政区域生活垃圾分类管理应急预案。</w:t>
      </w:r>
    </w:p>
    <w:p>
      <w:pPr>
        <w:pStyle w:val="Normal"/>
        <w:spacing w:lineRule="exact" w:line="576"/>
        <w:ind w:firstLineChars="200" w:startChars="0" w:start="0" w:endChars="0" w:end="0"/>
        <w:rPr/>
      </w:pPr>
      <w:r>
        <w:rPr/>
        <w:t>因突发性事件造成无法正常分类投放、收集、运输、处理生活垃圾的，</w:t>
      </w:r>
      <w:r>
        <w:rPr>
          <w:rFonts w:hint="eastAsia"/>
        </w:rPr>
        <w:t>县（区）</w:t>
      </w:r>
      <w:r>
        <w:rPr/>
        <w:t>人民政府环境卫生主管部门应当立即启动应急预案，向本级人民政府和市人民政府环境卫生主管部门报告，及时妥善处置。</w:t>
      </w:r>
    </w:p>
    <w:p>
      <w:pPr>
        <w:pStyle w:val="Normal"/>
        <w:spacing w:lineRule="exact" w:line="576"/>
        <w:ind w:firstLineChars="200" w:startChars="0" w:start="0" w:endChars="0" w:end="0"/>
        <w:rPr/>
      </w:pPr>
      <w:r>
        <w:rPr>
          <w:rFonts w:ascii="方正黑体简体" w:hAnsi="方正黑体简体" w:eastAsia="黑体;SimHei"/>
        </w:rPr>
        <w:t>第三十三条</w:t>
      </w:r>
      <w:r>
        <w:rPr>
          <w:rFonts w:eastAsia="方正楷体简体"/>
        </w:rPr>
        <w:t xml:space="preserve"> </w:t>
      </w:r>
      <w:r>
        <w:rPr>
          <w:rFonts w:hint="eastAsia" w:eastAsia="方正楷体简体"/>
        </w:rPr>
        <w:t xml:space="preserve"> </w:t>
      </w:r>
      <w:r>
        <w:rPr/>
        <w:t>任何单位和个人有权对违反生活垃圾分类管理法律法规的行为进行劝阻、投诉和举报。</w:t>
      </w:r>
    </w:p>
    <w:p>
      <w:pPr>
        <w:pStyle w:val="Normal"/>
        <w:spacing w:lineRule="exact" w:line="576"/>
        <w:ind w:firstLineChars="200" w:startChars="0" w:start="0" w:endChars="0" w:end="0"/>
        <w:rPr/>
      </w:pPr>
      <w:r>
        <w:rPr/>
        <w:t>市</w:t>
      </w:r>
      <w:r>
        <w:rPr>
          <w:rFonts w:hint="eastAsia"/>
        </w:rPr>
        <w:t>、县（区）</w:t>
      </w:r>
      <w:r>
        <w:rPr/>
        <w:t>人民政府环境卫生主管部门应当建立生活垃圾分类管理投诉举报平台，公布举报方式，依法处理有关投诉和举报，并及时将处理结果告知投诉举报人。</w:t>
      </w:r>
    </w:p>
    <w:p>
      <w:pPr>
        <w:pStyle w:val="Normal"/>
        <w:spacing w:lineRule="exact" w:line="576"/>
        <w:rPr/>
      </w:pPr>
      <w:r>
        <w:rPr/>
      </w:r>
    </w:p>
    <w:p>
      <w:pPr>
        <w:pStyle w:val="Normal"/>
        <w:spacing w:lineRule="exact" w:line="576"/>
        <w:jc w:val="center"/>
        <w:rPr>
          <w:rFonts w:eastAsia="黑体;SimHei" w:hint="eastAsia"/>
        </w:rPr>
      </w:pPr>
      <w:r>
        <w:rPr>
          <w:rFonts w:eastAsia="黑体;SimHei"/>
        </w:rPr>
        <w:t>第六章  法律责任</w:t>
      </w:r>
    </w:p>
    <w:p>
      <w:pPr>
        <w:pStyle w:val="Normal"/>
        <w:spacing w:lineRule="exact" w:line="576"/>
        <w:jc w:val="center"/>
        <w:rPr>
          <w:rFonts w:eastAsia="黑体;SimHei" w:hint="eastAsia"/>
        </w:rPr>
      </w:pPr>
      <w:r>
        <w:rPr>
          <w:rFonts w:eastAsia="黑体;SimHei" w:hint="eastAsia"/>
        </w:rPr>
      </w:r>
    </w:p>
    <w:p>
      <w:pPr>
        <w:pStyle w:val="Normal"/>
        <w:spacing w:lineRule="exact" w:line="576"/>
        <w:ind w:firstLineChars="200" w:startChars="0" w:start="0" w:endChars="0" w:end="0"/>
        <w:rPr/>
      </w:pPr>
      <w:r>
        <w:rPr>
          <w:rFonts w:ascii="方正黑体简体" w:hAnsi="方正黑体简体" w:eastAsia="黑体;SimHei"/>
        </w:rPr>
        <w:t>第三十四条</w:t>
      </w:r>
      <w:r>
        <w:rPr>
          <w:rFonts w:ascii="方正黑体简体" w:hAnsi="方正黑体简体" w:hint="eastAsia" w:eastAsia="黑体;SimHei"/>
        </w:rPr>
        <w:t xml:space="preserve"> </w:t>
      </w:r>
      <w:r>
        <w:rPr>
          <w:rFonts w:eastAsia="方正楷体简体"/>
        </w:rPr>
        <w:t xml:space="preserve"> </w:t>
      </w:r>
      <w:r>
        <w:rPr/>
        <w:t>违反本条例规定的行为，法律法规已有法律责任规定的，从其规定。</w:t>
      </w:r>
    </w:p>
    <w:p>
      <w:pPr>
        <w:pStyle w:val="Normal"/>
        <w:spacing w:lineRule="exact" w:line="576"/>
        <w:ind w:firstLineChars="200" w:startChars="0" w:start="0" w:endChars="0" w:end="0"/>
        <w:rPr/>
      </w:pPr>
      <w:r>
        <w:rPr>
          <w:rFonts w:ascii="方正黑体简体" w:hAnsi="方正黑体简体" w:eastAsia="黑体;SimHei"/>
        </w:rPr>
        <w:t>第三十五条</w:t>
      </w:r>
      <w:r>
        <w:rPr>
          <w:rFonts w:ascii="方正黑体简体" w:hAnsi="方正黑体简体" w:hint="eastAsia" w:eastAsia="黑体;SimHei"/>
        </w:rPr>
        <w:t xml:space="preserve"> </w:t>
      </w:r>
      <w:r>
        <w:rPr/>
        <w:t xml:space="preserve"> 国家机关及其工作人员在生活垃圾分类管理工作中不履职或者不正确履职的，由有权机关按照管理权限责令改正，视情节轻重，对直接负责的主管人员和其他直接责任人员依法给予处分；构成犯罪的，依法追究刑事责任。</w:t>
      </w:r>
    </w:p>
    <w:p>
      <w:pPr>
        <w:pStyle w:val="Normal"/>
        <w:spacing w:lineRule="exact" w:line="576"/>
        <w:ind w:firstLineChars="200" w:startChars="0" w:start="0" w:endChars="0" w:end="0"/>
        <w:rPr/>
      </w:pPr>
      <w:r>
        <w:rPr>
          <w:rFonts w:ascii="方正黑体简体" w:hAnsi="方正黑体简体" w:eastAsia="黑体;SimHei"/>
        </w:rPr>
        <w:t>第三十六条</w:t>
      </w:r>
      <w:r>
        <w:rPr>
          <w:rFonts w:ascii="方正黑体简体" w:hAnsi="方正黑体简体" w:hint="eastAsia" w:eastAsia="黑体;SimHei"/>
        </w:rPr>
        <w:t xml:space="preserve"> </w:t>
      </w:r>
      <w:r>
        <w:rPr/>
        <w:t xml:space="preserve"> 违反本条例第十二条第一款规定，未在指定的地点分类投放生活垃圾的，由</w:t>
      </w:r>
      <w:r>
        <w:rPr>
          <w:rFonts w:hint="eastAsia"/>
        </w:rPr>
        <w:t>县（区）</w:t>
      </w:r>
      <w:r>
        <w:rPr/>
        <w:t>人民政府环境卫生主管部门责令改正；情节严重的，对单位处五万元以上五十万元以下罚款，对个人处一百元以上五百元以下罚款。</w:t>
      </w:r>
    </w:p>
    <w:p>
      <w:pPr>
        <w:pStyle w:val="Normal"/>
        <w:spacing w:lineRule="exact" w:line="576"/>
        <w:ind w:firstLineChars="200" w:startChars="0" w:start="0" w:endChars="0" w:end="0"/>
        <w:rPr/>
      </w:pPr>
      <w:r>
        <w:rPr>
          <w:rFonts w:ascii="方正黑体简体" w:hAnsi="方正黑体简体" w:eastAsia="黑体;SimHei"/>
        </w:rPr>
        <w:t>第三十七条</w:t>
      </w:r>
      <w:r>
        <w:rPr>
          <w:rFonts w:eastAsia="方正楷体简体"/>
        </w:rPr>
        <w:t xml:space="preserve"> </w:t>
      </w:r>
      <w:r>
        <w:rPr>
          <w:rFonts w:hint="eastAsia" w:eastAsia="方正楷体简体"/>
        </w:rPr>
        <w:t xml:space="preserve"> </w:t>
      </w:r>
      <w:r>
        <w:rPr/>
        <w:t>违反本条例第十四条第一款规定，生活垃圾分类管理责任人不履职或者不正确履职的，由</w:t>
      </w:r>
      <w:r>
        <w:rPr>
          <w:rFonts w:hint="eastAsia"/>
        </w:rPr>
        <w:t>县（区）</w:t>
      </w:r>
      <w:r>
        <w:rPr/>
        <w:t>人民政府环境卫生主管部门责令改正；逾期未改正的，予以通报批评，并处一千元以上二千元以下罚款。</w:t>
      </w:r>
    </w:p>
    <w:p>
      <w:pPr>
        <w:pStyle w:val="Normal"/>
        <w:spacing w:lineRule="exact" w:line="576"/>
        <w:ind w:firstLineChars="200" w:startChars="0" w:start="0" w:endChars="0" w:end="0"/>
        <w:rPr/>
      </w:pPr>
      <w:r>
        <w:rPr>
          <w:rFonts w:ascii="方正黑体简体" w:hAnsi="方正黑体简体" w:eastAsia="黑体;SimHei"/>
        </w:rPr>
        <w:t>第三十八条</w:t>
      </w:r>
      <w:r>
        <w:rPr/>
        <w:t xml:space="preserve"> </w:t>
      </w:r>
      <w:r>
        <w:rPr>
          <w:rFonts w:hint="eastAsia"/>
        </w:rPr>
        <w:t xml:space="preserve"> </w:t>
      </w:r>
      <w:r>
        <w:rPr/>
        <w:t>生活垃圾分类收集、运输单位违反本条例第十九条第一款规定的，由</w:t>
      </w:r>
      <w:r>
        <w:rPr>
          <w:rFonts w:hint="eastAsia"/>
        </w:rPr>
        <w:t>县（区）</w:t>
      </w:r>
      <w:r>
        <w:rPr/>
        <w:t>人民政府环境卫生主管部门按照下列规定处罚：</w:t>
      </w:r>
    </w:p>
    <w:p>
      <w:pPr>
        <w:pStyle w:val="Normal"/>
        <w:spacing w:lineRule="exact" w:line="576"/>
        <w:ind w:firstLineChars="200" w:startChars="0" w:start="0" w:endChars="0" w:end="0"/>
        <w:rPr/>
      </w:pPr>
      <w:r>
        <w:rPr/>
        <w:t>（一）分类收集、运输车辆未保持密闭，未喷涂分类标识，运输车辆未安装定位和监控系统并与生活垃圾分类管理信息平台联网的，责令改正；逾期未改正的，处二千元以上二万元以下罚款。</w:t>
      </w:r>
    </w:p>
    <w:p>
      <w:pPr>
        <w:pStyle w:val="Normal"/>
        <w:spacing w:lineRule="exact" w:line="576"/>
        <w:ind w:firstLineChars="200" w:startChars="0" w:start="0" w:endChars="0" w:end="0"/>
        <w:rPr/>
      </w:pPr>
      <w:r>
        <w:rPr/>
        <w:t>（二）未按照规定的时间、频次、路线收集、运输生活垃圾的，责令改正，处五千元以上三万元以下罚款。</w:t>
      </w:r>
    </w:p>
    <w:p>
      <w:pPr>
        <w:pStyle w:val="Normal"/>
        <w:spacing w:lineRule="exact" w:line="576"/>
        <w:ind w:firstLineChars="200" w:startChars="0" w:start="0" w:endChars="0" w:end="0"/>
        <w:rPr/>
      </w:pPr>
      <w:r>
        <w:rPr/>
        <w:t>（三）混合收集、运输已分类的生活垃圾的，责令改正，处五千元以上三万元以下罚款。</w:t>
      </w:r>
    </w:p>
    <w:p>
      <w:pPr>
        <w:pStyle w:val="Normal"/>
        <w:spacing w:lineRule="exact" w:line="576"/>
        <w:ind w:firstLineChars="200" w:startChars="0" w:start="0" w:endChars="0" w:end="0"/>
        <w:rPr/>
      </w:pPr>
      <w:r>
        <w:rPr/>
        <w:t>（四）未公开联系电话的，或者未建立管理台账，未记录生活垃圾来源、种类、数量、去向等情况的，或者未定期向</w:t>
      </w:r>
      <w:r>
        <w:rPr>
          <w:rFonts w:hint="eastAsia"/>
        </w:rPr>
        <w:t>县（区）</w:t>
      </w:r>
      <w:r>
        <w:rPr/>
        <w:t>人民政府环境卫生主管部门报告记录情况的，责令改正；逾期未改正的，处一千元以上五千元以下罚款。</w:t>
      </w:r>
    </w:p>
    <w:p>
      <w:pPr>
        <w:pStyle w:val="Normal"/>
        <w:spacing w:lineRule="exact" w:line="576"/>
        <w:ind w:firstLineChars="200" w:startChars="0" w:start="0" w:endChars="0" w:end="0"/>
        <w:rPr/>
      </w:pPr>
      <w:r>
        <w:rPr>
          <w:rFonts w:ascii="方正黑体简体" w:hAnsi="方正黑体简体" w:eastAsia="黑体;SimHei"/>
        </w:rPr>
        <w:t>第三十九条</w:t>
      </w:r>
      <w:r>
        <w:rPr>
          <w:rFonts w:eastAsia="方正楷体简体"/>
        </w:rPr>
        <w:t xml:space="preserve"> </w:t>
      </w:r>
      <w:r>
        <w:rPr>
          <w:rFonts w:hint="eastAsia" w:eastAsia="方正楷体简体"/>
        </w:rPr>
        <w:t xml:space="preserve"> </w:t>
      </w:r>
      <w:r>
        <w:rPr/>
        <w:t>违反本条例第二十条规定，生活垃圾集中转运设施的运营管理单位未按照规定密闭存放厨余垃圾和其他垃圾的，或者存放时间超过二十四小时的，由</w:t>
      </w:r>
      <w:r>
        <w:rPr>
          <w:rFonts w:hint="eastAsia"/>
        </w:rPr>
        <w:t>县（区）</w:t>
      </w:r>
      <w:r>
        <w:rPr/>
        <w:t>人民政府环境卫生主管部门责令改正，处一千元以上一万元以下罚款。</w:t>
      </w:r>
    </w:p>
    <w:p>
      <w:pPr>
        <w:pStyle w:val="Normal"/>
        <w:spacing w:lineRule="exact" w:line="576"/>
        <w:ind w:firstLineChars="200" w:startChars="0" w:start="0" w:endChars="0" w:end="0"/>
        <w:rPr/>
      </w:pPr>
      <w:r>
        <w:rPr>
          <w:rFonts w:ascii="方正黑体简体" w:hAnsi="方正黑体简体" w:eastAsia="黑体;SimHei"/>
        </w:rPr>
        <w:t>第四十条</w:t>
      </w:r>
      <w:r>
        <w:rPr>
          <w:rFonts w:eastAsia="方正楷体简体"/>
        </w:rPr>
        <w:t xml:space="preserve"> </w:t>
      </w:r>
      <w:r>
        <w:rPr>
          <w:rFonts w:hint="eastAsia" w:eastAsia="方正楷体简体"/>
        </w:rPr>
        <w:t xml:space="preserve"> </w:t>
      </w:r>
      <w:r>
        <w:rPr/>
        <w:t>生活垃圾分类处理单位违反本条例第二十二条规定的，由</w:t>
      </w:r>
      <w:r>
        <w:rPr>
          <w:rFonts w:hint="eastAsia"/>
        </w:rPr>
        <w:t>县（区）</w:t>
      </w:r>
      <w:r>
        <w:rPr/>
        <w:t>人民政府环境卫生主管部门按照下列规定处罚：</w:t>
      </w:r>
    </w:p>
    <w:p>
      <w:pPr>
        <w:pStyle w:val="Normal"/>
        <w:spacing w:lineRule="exact" w:line="576"/>
        <w:ind w:firstLineChars="200" w:startChars="0" w:start="0" w:endChars="0" w:end="0"/>
        <w:rPr/>
      </w:pPr>
      <w:r>
        <w:rPr/>
        <w:t>（一）未分类接收并分类处理生活垃圾的，责令改正，处五千元以上三万元以下罚款。</w:t>
      </w:r>
    </w:p>
    <w:p>
      <w:pPr>
        <w:pStyle w:val="Normal"/>
        <w:spacing w:lineRule="exact" w:line="576"/>
        <w:ind w:firstLineChars="200" w:startChars="0" w:start="0" w:endChars="0" w:end="0"/>
        <w:rPr/>
      </w:pPr>
      <w:r>
        <w:rPr/>
        <w:t>（二）未安装计量系统并与生活垃圾分类管理信息平台联网的，责令改正；逾期未改正的，处一万元以上三万元以下罚款。</w:t>
      </w:r>
    </w:p>
    <w:p>
      <w:pPr>
        <w:pStyle w:val="Normal"/>
        <w:spacing w:lineRule="exact" w:line="576"/>
        <w:ind w:firstLineChars="200" w:startChars="0" w:start="0" w:endChars="0" w:end="0"/>
        <w:rPr/>
      </w:pPr>
      <w:r>
        <w:rPr/>
        <w:t>（三）未建立管理台账或者未按照要求报送台账的，责令改正；逾期未改正的，处一千元以上五千元以下罚款。</w:t>
      </w:r>
    </w:p>
    <w:p>
      <w:pPr>
        <w:pStyle w:val="Normal"/>
        <w:spacing w:lineRule="exact" w:line="576"/>
        <w:rPr/>
      </w:pPr>
      <w:r>
        <w:rPr/>
      </w:r>
    </w:p>
    <w:p>
      <w:pPr>
        <w:pStyle w:val="Normal"/>
        <w:spacing w:lineRule="exact" w:line="576"/>
        <w:jc w:val="center"/>
        <w:rPr>
          <w:rFonts w:eastAsia="黑体;SimHei" w:hint="eastAsia"/>
        </w:rPr>
      </w:pPr>
      <w:r>
        <w:rPr>
          <w:rFonts w:eastAsia="黑体;SimHei"/>
        </w:rPr>
        <w:t>第七章  附</w:t>
      </w:r>
      <w:r>
        <w:rPr>
          <w:rFonts w:hint="eastAsia" w:eastAsia="黑体;SimHei"/>
        </w:rPr>
        <w:t xml:space="preserve">  </w:t>
      </w:r>
      <w:r>
        <w:rPr>
          <w:rFonts w:eastAsia="黑体;SimHei"/>
        </w:rPr>
        <w:t>则</w:t>
      </w:r>
    </w:p>
    <w:p>
      <w:pPr>
        <w:pStyle w:val="Normal"/>
        <w:spacing w:lineRule="exact" w:line="576"/>
        <w:jc w:val="center"/>
        <w:rPr>
          <w:rFonts w:eastAsia="黑体;SimHei" w:hint="eastAsia"/>
        </w:rPr>
      </w:pPr>
      <w:r>
        <w:rPr>
          <w:rFonts w:eastAsia="黑体;SimHei" w:hint="eastAsia"/>
        </w:rPr>
      </w:r>
    </w:p>
    <w:p>
      <w:pPr>
        <w:pStyle w:val="Normal"/>
        <w:spacing w:lineRule="exact" w:line="576"/>
        <w:ind w:firstLineChars="200" w:startChars="0" w:start="0" w:endChars="0" w:end="0"/>
        <w:rPr/>
      </w:pPr>
      <w:r>
        <w:rPr>
          <w:rFonts w:ascii="方正黑体简体" w:hAnsi="方正黑体简体" w:eastAsia="黑体;SimHei"/>
        </w:rPr>
        <w:t>第四十一条</w:t>
      </w:r>
      <w:r>
        <w:rPr/>
        <w:t xml:space="preserve"> </w:t>
      </w:r>
      <w:r>
        <w:rPr>
          <w:rFonts w:hint="eastAsia"/>
        </w:rPr>
        <w:t xml:space="preserve"> </w:t>
      </w:r>
      <w:r>
        <w:rPr/>
        <w:t>本条例下列用语的含义：</w:t>
      </w:r>
    </w:p>
    <w:p>
      <w:pPr>
        <w:pStyle w:val="Normal"/>
        <w:spacing w:lineRule="exact" w:line="576"/>
        <w:ind w:firstLineChars="200" w:startChars="0" w:start="0" w:endChars="0" w:end="0"/>
        <w:rPr/>
      </w:pPr>
      <w:r>
        <w:rPr/>
        <w:t>（一）家用化学品，是指居民日常生活中产生的废弃的药品药具及其包装物、杀虫剂和消毒剂及其包装物、油漆和溶剂及其包装物等。</w:t>
      </w:r>
    </w:p>
    <w:p>
      <w:pPr>
        <w:pStyle w:val="Normal"/>
        <w:spacing w:lineRule="exact" w:line="576"/>
        <w:ind w:firstLineChars="200" w:startChars="0" w:start="0" w:endChars="0" w:end="0"/>
        <w:rPr/>
      </w:pPr>
      <w:r>
        <w:rPr/>
        <w:t>（二）家庭厨余垃圾，是指居民家庭日常生活产生的菜帮、菜叶、瓜果皮壳、剩菜剩饭、废弃食物等易腐性垃圾。</w:t>
      </w:r>
    </w:p>
    <w:p>
      <w:pPr>
        <w:pStyle w:val="Normal"/>
        <w:spacing w:lineRule="exact" w:line="576"/>
        <w:ind w:firstLineChars="200" w:startChars="0" w:start="0" w:endChars="0" w:end="0"/>
        <w:rPr/>
      </w:pPr>
      <w:r>
        <w:rPr/>
        <w:t>（三）餐厨垃圾，是指在食品加工、饮食服务、单位供餐等活动中产生的食物残渣、食品加工废料、过期食品和废弃食用油脂等。</w:t>
      </w:r>
    </w:p>
    <w:p>
      <w:pPr>
        <w:pStyle w:val="Normal"/>
        <w:spacing w:lineRule="exact" w:line="576"/>
        <w:ind w:firstLineChars="200" w:startChars="0" w:start="0" w:endChars="0" w:end="0"/>
        <w:rPr/>
      </w:pPr>
      <w:r>
        <w:rPr/>
        <w:t>（四）其他厨余垃圾，是指农产品批发市场、农贸市场、大型超市等场所产生的蔬菜瓜果、腐肉、肉碎骨、水产品、畜禽内脏等易腐性垃圾。</w:t>
      </w:r>
    </w:p>
    <w:p>
      <w:pPr>
        <w:pStyle w:val="Normal"/>
        <w:spacing w:lineRule="exact" w:line="576"/>
        <w:ind w:firstLineChars="200" w:startChars="0" w:start="0" w:endChars="0" w:end="0"/>
        <w:rPr/>
      </w:pPr>
      <w:r>
        <w:rPr>
          <w:rFonts w:ascii="方正黑体简体" w:hAnsi="方正黑体简体" w:eastAsia="黑体;SimHei"/>
        </w:rPr>
        <w:t>第四十二条</w:t>
      </w:r>
      <w:r>
        <w:rPr>
          <w:rFonts w:hint="eastAsia" w:eastAsia="方正楷体简体"/>
        </w:rPr>
        <w:t xml:space="preserve">  </w:t>
      </w:r>
      <w:r>
        <w:rPr>
          <w:rFonts w:ascii="仿宋_GB2312;仿宋" w:hAnsi="仿宋_GB2312;仿宋" w:hint="eastAsia"/>
        </w:rPr>
        <w:t>本条例自</w:t>
      </w:r>
      <w:r>
        <w:rPr>
          <w:rFonts w:hint="eastAsia" w:ascii="仿宋_GB2312;仿宋" w:hAnsi="仿宋_GB2312;仿宋"/>
        </w:rPr>
        <w:t>2023</w:t>
      </w:r>
      <w:r>
        <w:rPr>
          <w:rFonts w:ascii="仿宋_GB2312;仿宋" w:hAnsi="仿宋_GB2312;仿宋" w:hint="eastAsia"/>
        </w:rPr>
        <w:t>年</w:t>
      </w:r>
      <w:r>
        <w:rPr>
          <w:rFonts w:hint="eastAsia" w:ascii="仿宋_GB2312;仿宋" w:hAnsi="仿宋_GB2312;仿宋"/>
        </w:rPr>
        <w:t>1</w:t>
      </w:r>
      <w:r>
        <w:rPr>
          <w:rFonts w:ascii="仿宋_GB2312;仿宋" w:hAnsi="仿宋_GB2312;仿宋" w:hint="eastAsia"/>
        </w:rPr>
        <w:t>月</w:t>
      </w:r>
      <w:r>
        <w:rPr>
          <w:rFonts w:hint="eastAsia" w:ascii="仿宋_GB2312;仿宋" w:hAnsi="仿宋_GB2312;仿宋"/>
        </w:rPr>
        <w:t>1</w:t>
      </w:r>
      <w:r>
        <w:rPr>
          <w:rFonts w:ascii="仿宋_GB2312;仿宋" w:hAnsi="仿宋_GB2312;仿宋" w:hint="eastAsia"/>
        </w:rPr>
        <w:t>日起施行。</w:t>
      </w:r>
    </w:p>
    <w:sectPr>
      <w:headerReference w:type="even" r:id="rId2"/>
      <w:headerReference w:type="default" r:id="rId3"/>
      <w:footerReference w:type="even" r:id="rId4"/>
      <w:footerReference w:type="default" r:id="rId5"/>
      <w:type w:val="nextPage"/>
      <w:pgSz w:w="11906" w:h="16838"/>
      <w:pgMar w:left="1588" w:right="1588" w:gutter="0" w:header="851" w:top="2098" w:footer="510" w:bottom="1814"/>
      <w:pgNumType w:fmt="decimal"/>
      <w:formProt w:val="false"/>
      <w:textDirection w:val="lrTb"/>
      <w:docGrid w:type="lines" w:linePitch="63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Calibri">
    <w:charset w:val="00" w:characterSet="windows-1252"/>
    <w:family w:val="swiss"/>
    <w:pitch w:val="variable"/>
  </w:font>
  <w:font w:name="楷体_GB2312">
    <w:altName w:val="楷体"/>
    <w:charset w:val="86"/>
    <w:family w:val="modern"/>
    <w:pitch w:val="default"/>
  </w:font>
  <w:font w:name="方正黑体简体">
    <w:charset w:val="86"/>
    <w:family w:val="script"/>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宋体;SimSun" w:hAnsi="宋体;SimSun" w:eastAsia="宋体;SimSun" w:cs="宋体;SimSun"/>
        <w:sz w:val="28"/>
        <w:szCs w:val="28"/>
      </w:rPr>
    </w:pPr>
    <w:r>
      <w:rP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16</w:t>
    </w:r>
    <w:r>
      <w:rPr>
        <w:rFonts w:eastAsia="宋体;SimSun" w:cs="宋体;SimSun" w:ascii="宋体;SimSun" w:hAnsi="宋体;SimSun"/>
        <w:sz w:val="28"/>
        <w:szCs w:val="28"/>
      </w:rPr>
      <w:fldChar w:fldCharType="end"/>
    </w:r>
    <w:r>
      <w:rPr>
        <w:rFonts w:eastAsia="宋体;SimSun" w:cs="宋体;SimSun" w:hint="eastAsia" w:ascii="宋体;SimSun" w:hAnsi="宋体;SimSun"/>
        <w:sz w:val="28"/>
        <w:szCs w:val="28"/>
      </w:rPr>
      <w:t xml:space="preserve">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15</w:t>
    </w:r>
    <w:r>
      <w:rPr>
        <w:rFonts w:eastAsia="宋体;SimSun" w:cs="宋体;SimSun" w:ascii="宋体;SimSun" w:hAnsi="宋体;SimSun"/>
        <w:sz w:val="28"/>
        <w:szCs w:val="28"/>
      </w:rPr>
      <w:fldChar w:fldCharType="end"/>
    </w:r>
    <w:r>
      <w:rPr>
        <w:rFonts w:eastAsia="宋体;SimSun" w:cs="宋体;SimSun" w:hint="eastAsia" w:ascii="宋体;SimSun" w:hAnsi="宋体;SimSun"/>
        <w:sz w:val="28"/>
        <w:szCs w:val="28"/>
      </w:rPr>
      <w:t xml:space="preserve"> —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仿宋" w:cs="Times New Roman"/>
      <w:color w:val="auto"/>
      <w:kern w:val="2"/>
      <w:sz w:val="32"/>
      <w:szCs w:val="32"/>
      <w:lang w:bidi="ar-SA" w:val="en-US" w:eastAsia="zh-CN"/>
    </w:rPr>
  </w:style>
  <w:style w:type="character" w:styleId="Style14">
    <w:name w:val="默认段落字体"/>
    <w:qFormat/>
    <w:rPr/>
  </w:style>
  <w:style w:type="character" w:styleId="Char">
    <w:name w:val="页脚 Char"/>
    <w:qFormat/>
    <w:rPr>
      <w:rFonts w:eastAsia="仿宋_GB2312;仿宋"/>
      <w:kern w:val="2"/>
      <w:sz w:val="18"/>
      <w:szCs w:val="18"/>
    </w:rPr>
  </w:style>
  <w:style w:type="character" w:styleId="Strong">
    <w:name w:val="Strong"/>
    <w:qFormat/>
    <w:rPr>
      <w:b/>
      <w:bCs/>
    </w:rPr>
  </w:style>
  <w:style w:type="character" w:styleId="PageNumber">
    <w:name w:val="page number"/>
    <w:rPr/>
  </w:style>
  <w:style w:type="character" w:styleId="Hyperlink">
    <w:name w:val="Hyperlink"/>
    <w:rPr>
      <w:color w:val="0000FF"/>
      <w:u w:val="single"/>
    </w:rPr>
  </w:style>
  <w:style w:type="character" w:styleId="Style15">
    <w:name w:val="不明显强调"/>
    <w:qFormat/>
    <w:rPr>
      <w:i/>
      <w:iCs/>
      <w:color w:val="808080"/>
    </w:rPr>
  </w:style>
  <w:style w:type="character" w:styleId="apple-converted-space">
    <w:name w:val="apple-converted-space"/>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纯文本"/>
    <w:basedOn w:val="Normal"/>
    <w:qFormat/>
    <w:pPr>
      <w:widowControl/>
      <w:snapToGrid w:val="false"/>
      <w:spacing w:before="0" w:after="200"/>
      <w:jc w:val="start"/>
    </w:pPr>
    <w:rPr>
      <w:rFonts w:ascii="宋体;SimSun" w:hAnsi="宋体;SimSun" w:eastAsia="微软雅黑" w:cs="Courier New"/>
      <w:kern w:val="0"/>
      <w:sz w:val="22"/>
      <w:szCs w:val="21"/>
    </w:rPr>
  </w:style>
  <w:style w:type="paragraph" w:styleId="TOC8">
    <w:name w:val="toc 8"/>
    <w:basedOn w:val="Normal"/>
    <w:next w:val="Normal"/>
    <w:pPr>
      <w:ind w:firstLineChars="0" w:firstLine="0" w:startChars="1400" w:endChars="0" w:end="0"/>
    </w:pPr>
    <w:rPr/>
  </w:style>
  <w:style w:type="paragraph" w:styleId="Style17">
    <w:name w:val="日期"/>
    <w:basedOn w:val="Normal"/>
    <w:next w:val="Normal"/>
    <w:qFormat/>
    <w:pPr>
      <w:ind w:firstLineChars="0" w:firstLine="0" w:startChars="25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next w:val="TOC4"/>
    <w:pPr>
      <w:tabs>
        <w:tab w:val="clear" w:pos="420"/>
        <w:tab w:val="center" w:pos="4153" w:leader="none"/>
        <w:tab w:val="right" w:pos="8306" w:leader="none"/>
      </w:tabs>
      <w:snapToGrid w:val="false"/>
      <w:jc w:val="start"/>
    </w:pPr>
    <w:rPr>
      <w:sz w:val="18"/>
      <w:szCs w:val="18"/>
    </w:rPr>
  </w:style>
  <w:style w:type="paragraph" w:styleId="TOC4">
    <w:name w:val="toc 4"/>
    <w:basedOn w:val="Normal"/>
    <w:next w:val="71"/>
    <w:pPr>
      <w:ind w:hanging="0" w:start="850" w:end="0"/>
    </w:pPr>
    <w:rPr>
      <w:szCs w:val="21"/>
    </w:rPr>
  </w:style>
  <w:style w:type="paragraph" w:styleId="71">
    <w:name w:val="目录 71"/>
    <w:next w:val="Normal"/>
    <w:qFormat/>
    <w:pPr>
      <w:widowControl/>
      <w:bidi w:val="0"/>
      <w:ind w:hanging="0" w:start="2550" w:end="0"/>
      <w:jc w:val="both"/>
    </w:pPr>
    <w:rPr>
      <w:rFonts w:ascii="Times New Roman" w:hAnsi="Times New Roman" w:eastAsia="宋体;SimSun" w:cs="Times New Roman"/>
      <w:color w:val="auto"/>
      <w:sz w:val="21"/>
      <w:szCs w:val="21"/>
      <w:lang w:bidi="ar-SA" w:val="en-US" w:eastAsia="zh-CN"/>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SimSun" w:hAnsi="宋体;SimSun" w:eastAsia="宋体;SimSun" w:cs="宋体;SimSun"/>
      <w:kern w:val="0"/>
      <w:sz w:val="24"/>
      <w:szCs w:val="24"/>
    </w:rPr>
  </w:style>
  <w:style w:type="paragraph" w:styleId="Style19">
    <w:name w:val="列出段落"/>
    <w:basedOn w:val="Normal"/>
    <w:qFormat/>
    <w:pPr>
      <w:ind w:firstLineChars="200" w:startChars="0" w:start="0" w:endChars="0" w:end="0"/>
    </w:pPr>
    <w:rPr>
      <w:rFonts w:eastAsia="宋体;SimSun"/>
      <w:sz w:val="21"/>
      <w:szCs w:val="24"/>
    </w:rPr>
  </w:style>
  <w:style w:type="paragraph" w:styleId="New">
    <w:name w:val="正文 New"/>
    <w:next w:val="Default"/>
    <w:qFormat/>
    <w:pPr>
      <w:widowControl w:val="false"/>
      <w:bidi w:val="0"/>
      <w:jc w:val="both"/>
    </w:pPr>
    <w:rPr>
      <w:rFonts w:ascii="Calibri" w:hAnsi="Calibri" w:eastAsia="宋体;SimSun" w:cs="黑体;SimHei"/>
      <w:color w:val="auto"/>
      <w:kern w:val="2"/>
      <w:sz w:val="21"/>
      <w:szCs w:val="22"/>
      <w:lang w:bidi="ar-SA" w:val="en-US" w:eastAsia="zh-CN"/>
    </w:rPr>
  </w:style>
  <w:style w:type="paragraph" w:styleId="Default">
    <w:name w:val="Default"/>
    <w:basedOn w:val="New"/>
    <w:next w:val="TOC8"/>
    <w:qFormat/>
    <w:pPr>
      <w:autoSpaceDE w:val="false"/>
      <w:spacing w:lineRule="exact" w:line="510"/>
      <w:jc w:val="start"/>
    </w:pPr>
    <w:rPr>
      <w:rFonts w:cs="宋体;SimSun"/>
      <w:color w:val="000000"/>
      <w:kern w:val="0"/>
      <w:sz w:val="24"/>
      <w:szCs w:val="24"/>
    </w:rPr>
  </w:style>
  <w:style w:type="paragraph" w:styleId="HeaderLeft">
    <w:name w:val="Header Left"/>
    <w:basedOn w:val="Header"/>
    <w:qFormat/>
    <w:pPr>
      <w:suppressLineNumbers/>
      <w:tabs>
        <w:tab w:val="clear" w:pos="4153"/>
        <w:tab w:val="clear" w:pos="8306"/>
        <w:tab w:val="center" w:pos="4365" w:leader="none"/>
        <w:tab w:val="right" w:pos="8730"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2022-08-12T15:49:00Z</dcterms:created>
  <dc:creator>微软用户</dc:creator>
  <dc:description/>
  <cp:keywords/>
  <dc:language>en-US</dc:language>
  <cp:lastModifiedBy>Lenovo</cp:lastModifiedBy>
  <cp:lastPrinted>2020-06-19T23:53:00Z</cp:lastPrinted>
  <dcterms:modified xsi:type="dcterms:W3CDTF">2022-10-14T09:15:00Z</dcterms:modified>
  <cp:revision>4</cp:revision>
  <dc:subject/>
  <dc:title>泸州市人大常委会办公室文件</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2052-11.8.2.9864</vt:lpwstr>
  </property>
</Properties>
</file>