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false"/>
        <w:bidi w:val="0"/>
        <w:snapToGrid w:val="true"/>
        <w:spacing w:lineRule="exact" w:line="590"/>
        <w:ind w:firstLineChars="0" w:firstLine="0" w:startChars="0" w:start="0" w:endChars="0" w:end="0"/>
        <w:jc w:val="center"/>
        <w:rPr>
          <w:rFonts w:ascii="Times New Roman" w:hAnsi="Times New Roman" w:eastAsia="方正小标宋简体" w:cs="Times New Roman"/>
          <w:color w:val="000000"/>
          <w:sz w:val="44"/>
          <w:szCs w:val="44"/>
        </w:rPr>
      </w:pPr>
      <w:r>
        <w:rPr>
          <w:rFonts w:eastAsia="方正小标宋简体" w:cs="Times New Roman" w:ascii="Times New Roman" w:hAnsi="Times New Roman"/>
          <w:color w:val="000000"/>
          <w:sz w:val="44"/>
          <w:szCs w:val="44"/>
        </w:rPr>
      </w:r>
    </w:p>
    <w:p>
      <w:pPr>
        <w:pStyle w:val="Normal"/>
        <w:keepNext w:val="false"/>
        <w:keepLines w:val="false"/>
        <w:pageBreakBefore w:val="false"/>
        <w:widowControl w:val="false"/>
        <w:kinsoku w:val="true"/>
        <w:overflowPunct w:val="true"/>
        <w:autoSpaceDE w:val="false"/>
        <w:bidi w:val="0"/>
        <w:snapToGrid w:val="true"/>
        <w:spacing w:lineRule="exact" w:line="590"/>
        <w:ind w:firstLineChars="0" w:firstLine="0" w:startChars="0" w:start="0" w:endChars="0" w:end="0"/>
        <w:jc w:val="center"/>
        <w:rPr>
          <w:rFonts w:ascii="Times New Roman" w:hAnsi="Times New Roman" w:eastAsia="方正小标宋简体" w:cs="Times New Roman"/>
          <w:color w:val="000000"/>
          <w:w w:val="100"/>
          <w:sz w:val="44"/>
          <w:szCs w:val="44"/>
        </w:rPr>
      </w:pPr>
      <w:r>
        <w:rPr>
          <w:rFonts w:ascii="Times New Roman" w:hAnsi="Times New Roman" w:cs="Times New Roman" w:eastAsia="方正小标宋简体"/>
          <w:color w:val="000000"/>
          <w:w w:val="100"/>
          <w:sz w:val="44"/>
          <w:szCs w:val="44"/>
        </w:rPr>
        <w:t>运城市涑水河流域生态修复与保护条例</w:t>
      </w:r>
    </w:p>
    <w:p>
      <w:pPr>
        <w:pStyle w:val="Normal"/>
        <w:keepNext w:val="false"/>
        <w:keepLines w:val="false"/>
        <w:pageBreakBefore w:val="false"/>
        <w:widowControl w:val="false"/>
        <w:kinsoku w:val="true"/>
        <w:overflowPunct w:val="true"/>
        <w:bidi w:val="0"/>
        <w:snapToGrid w:val="true"/>
        <w:spacing w:lineRule="exact" w:line="590"/>
        <w:ind w:firstLineChars="0" w:firstLine="0" w:startChars="0" w:start="0" w:endChars="0" w:end="0"/>
        <w:jc w:val="center"/>
        <w:textAlignment w:val="bottom"/>
        <w:rPr>
          <w:rFonts w:ascii="Times New Roman" w:hAnsi="Times New Roman" w:eastAsia="楷体_GB2312;楷体" w:cs="Times New Roman"/>
          <w:color w:val="000000"/>
          <w:w w:val="100"/>
          <w:sz w:val="32"/>
          <w:szCs w:val="44"/>
        </w:rPr>
      </w:pPr>
      <w:r>
        <w:rPr>
          <w:rFonts w:eastAsia="楷体_GB2312;楷体" w:cs="Times New Roman" w:ascii="Times New Roman" w:hAnsi="Times New Roman"/>
          <w:color w:val="000000"/>
          <w:w w:val="100"/>
          <w:sz w:val="32"/>
          <w:szCs w:val="44"/>
        </w:rPr>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bottom"/>
        <w:rPr>
          <w:rFonts w:ascii="Times New Roman" w:hAnsi="Times New Roman" w:eastAsia="楷体_GB2312;楷体" w:cs="Times New Roman"/>
          <w:w w:val="100"/>
          <w:sz w:val="32"/>
          <w:szCs w:val="32"/>
        </w:rPr>
      </w:pPr>
      <w:r>
        <w:rPr>
          <w:rFonts w:ascii="Times New Roman" w:hAnsi="Times New Roman" w:cs="Times New Roman" w:eastAsia="楷体_GB2312;楷体"/>
          <w:w w:val="100"/>
          <w:sz w:val="32"/>
          <w:szCs w:val="32"/>
        </w:rPr>
        <w:t>（</w:t>
      </w:r>
      <w:r>
        <w:rPr>
          <w:rFonts w:eastAsia="楷体_GB2312;楷体" w:cs="Times New Roman" w:ascii="Times New Roman" w:hAnsi="Times New Roman"/>
          <w:w w:val="100"/>
          <w:sz w:val="32"/>
          <w:szCs w:val="32"/>
        </w:rPr>
        <w:t>2018</w:t>
      </w:r>
      <w:r>
        <w:rPr>
          <w:rFonts w:ascii="Times New Roman" w:hAnsi="Times New Roman" w:cs="Times New Roman" w:eastAsia="楷体_GB2312;楷体"/>
          <w:w w:val="100"/>
          <w:sz w:val="32"/>
          <w:szCs w:val="32"/>
        </w:rPr>
        <w:t>年</w:t>
      </w:r>
      <w:r>
        <w:rPr>
          <w:rFonts w:eastAsia="楷体_GB2312;楷体" w:cs="Times New Roman" w:ascii="Times New Roman" w:hAnsi="Times New Roman"/>
          <w:w w:val="100"/>
          <w:sz w:val="32"/>
          <w:szCs w:val="32"/>
        </w:rPr>
        <w:t>8</w:t>
      </w:r>
      <w:r>
        <w:rPr>
          <w:rFonts w:ascii="Times New Roman" w:hAnsi="Times New Roman" w:cs="Times New Roman" w:eastAsia="楷体_GB2312;楷体"/>
          <w:w w:val="100"/>
          <w:sz w:val="32"/>
          <w:szCs w:val="32"/>
        </w:rPr>
        <w:t>月</w:t>
      </w:r>
      <w:r>
        <w:rPr>
          <w:rFonts w:eastAsia="楷体_GB2312;楷体" w:cs="Times New Roman" w:ascii="Times New Roman" w:hAnsi="Times New Roman"/>
          <w:w w:val="100"/>
          <w:sz w:val="32"/>
          <w:szCs w:val="32"/>
        </w:rPr>
        <w:t>29</w:t>
      </w:r>
      <w:r>
        <w:rPr>
          <w:rFonts w:ascii="Times New Roman" w:hAnsi="Times New Roman" w:cs="Times New Roman" w:eastAsia="楷体_GB2312;楷体"/>
          <w:w w:val="100"/>
          <w:sz w:val="32"/>
          <w:szCs w:val="32"/>
        </w:rPr>
        <w:t>日运城市第四届人民代表大会常务</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bottom"/>
        <w:rPr>
          <w:rFonts w:ascii="Times New Roman" w:hAnsi="Times New Roman" w:eastAsia="楷体_GB2312;楷体" w:cs="Times New Roman" w:hint="eastAsia"/>
          <w:bCs/>
          <w:w w:val="100"/>
          <w:kern w:val="0"/>
          <w:sz w:val="32"/>
          <w:szCs w:val="32"/>
        </w:rPr>
      </w:pPr>
      <w:r>
        <w:rPr>
          <w:rFonts w:ascii="Times New Roman" w:hAnsi="Times New Roman" w:cs="Times New Roman" w:eastAsia="楷体_GB2312;楷体"/>
          <w:w w:val="100"/>
          <w:sz w:val="32"/>
          <w:szCs w:val="32"/>
        </w:rPr>
        <w:t>委员会第二十一次会议通过</w:t>
      </w:r>
      <w:r>
        <w:rPr>
          <w:rFonts w:ascii="Times New Roman" w:hAnsi="Times New Roman" w:cs="Times New Roman" w:hint="eastAsia" w:eastAsia="楷体_GB2312;楷体"/>
          <w:w w:val="100"/>
          <w:sz w:val="32"/>
          <w:szCs w:val="32"/>
        </w:rPr>
        <w:t xml:space="preserve"> </w:t>
      </w:r>
      <w:r>
        <w:rPr>
          <w:rFonts w:eastAsia="楷体_GB2312;楷体" w:cs="Times New Roman" w:hint="eastAsia" w:ascii="Times New Roman" w:hAnsi="Times New Roman"/>
          <w:bCs/>
          <w:w w:val="100"/>
          <w:kern w:val="0"/>
          <w:sz w:val="32"/>
          <w:szCs w:val="32"/>
        </w:rPr>
        <w:t>2018</w:t>
      </w:r>
      <w:r>
        <w:rPr>
          <w:rFonts w:ascii="Times New Roman" w:hAnsi="Times New Roman" w:cs="Times New Roman" w:hint="eastAsia" w:eastAsia="楷体_GB2312;楷体"/>
          <w:bCs/>
          <w:w w:val="100"/>
          <w:kern w:val="0"/>
          <w:sz w:val="32"/>
          <w:szCs w:val="32"/>
        </w:rPr>
        <w:t>年</w:t>
      </w:r>
      <w:r>
        <w:rPr>
          <w:rFonts w:eastAsia="楷体_GB2312;楷体" w:cs="Times New Roman" w:hint="eastAsia" w:ascii="Times New Roman" w:hAnsi="Times New Roman"/>
          <w:bCs/>
          <w:w w:val="100"/>
          <w:kern w:val="0"/>
          <w:sz w:val="32"/>
          <w:szCs w:val="32"/>
        </w:rPr>
        <w:t>11</w:t>
      </w:r>
      <w:r>
        <w:rPr>
          <w:rFonts w:ascii="Times New Roman" w:hAnsi="Times New Roman" w:cs="Times New Roman" w:hint="eastAsia" w:eastAsia="楷体_GB2312;楷体"/>
          <w:bCs/>
          <w:w w:val="100"/>
          <w:kern w:val="0"/>
          <w:sz w:val="32"/>
          <w:szCs w:val="32"/>
        </w:rPr>
        <w:t>月</w:t>
      </w:r>
      <w:r>
        <w:rPr>
          <w:rFonts w:eastAsia="楷体_GB2312;楷体" w:cs="Times New Roman" w:hint="eastAsia" w:ascii="Times New Roman" w:hAnsi="Times New Roman"/>
          <w:bCs/>
          <w:w w:val="100"/>
          <w:kern w:val="0"/>
          <w:sz w:val="32"/>
          <w:szCs w:val="32"/>
        </w:rPr>
        <w:t>30</w:t>
      </w:r>
      <w:r>
        <w:rPr>
          <w:rFonts w:ascii="Times New Roman" w:hAnsi="Times New Roman" w:cs="Times New Roman" w:hint="eastAsia" w:eastAsia="楷体_GB2312;楷体"/>
          <w:bCs/>
          <w:w w:val="100"/>
          <w:kern w:val="0"/>
          <w:sz w:val="32"/>
          <w:szCs w:val="32"/>
        </w:rPr>
        <w:t>日山西</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bottom"/>
        <w:rPr>
          <w:rFonts w:ascii="Times New Roman" w:hAnsi="Times New Roman" w:eastAsia="楷体_GB2312;楷体" w:cs="Times New Roman"/>
          <w:w w:val="100"/>
          <w:sz w:val="32"/>
          <w:szCs w:val="32"/>
        </w:rPr>
      </w:pPr>
      <w:r>
        <w:rPr>
          <w:rFonts w:ascii="Times New Roman" w:hAnsi="Times New Roman" w:cs="Times New Roman" w:hint="eastAsia" w:eastAsia="楷体_GB2312;楷体"/>
          <w:bCs/>
          <w:w w:val="100"/>
          <w:kern w:val="0"/>
          <w:sz w:val="32"/>
          <w:szCs w:val="32"/>
        </w:rPr>
        <w:t>省第十三届人民代表大会常务委员会第七次会议批准</w:t>
      </w:r>
      <w:r>
        <w:rPr>
          <w:rFonts w:ascii="Times New Roman" w:hAnsi="Times New Roman" w:cs="Times New Roman" w:eastAsia="楷体_GB2312;楷体"/>
          <w:w w:val="100"/>
          <w:sz w:val="32"/>
          <w:szCs w:val="32"/>
        </w:rPr>
        <w:t>）</w:t>
      </w:r>
    </w:p>
    <w:p>
      <w:pPr>
        <w:pStyle w:val="Normal"/>
        <w:keepNext w:val="false"/>
        <w:keepLines w:val="false"/>
        <w:pageBreakBefore w:val="false"/>
        <w:widowControl w:val="false"/>
        <w:kinsoku w:val="true"/>
        <w:overflowPunct w:val="true"/>
        <w:autoSpaceDE w:val="false"/>
        <w:bidi w:val="0"/>
        <w:snapToGrid w:val="true"/>
        <w:spacing w:lineRule="exact" w:line="590"/>
        <w:ind w:firstLineChars="0" w:firstLine="0" w:startChars="0" w:start="0" w:endChars="0" w:end="0"/>
        <w:jc w:val="center"/>
        <w:rPr>
          <w:rFonts w:ascii="Times New Roman" w:hAnsi="Times New Roman" w:eastAsia="楷体_GB2312;楷体" w:cs="Times New Roman"/>
          <w:color w:val="000000"/>
          <w:w w:val="100"/>
          <w:sz w:val="44"/>
          <w:szCs w:val="44"/>
        </w:rPr>
      </w:pPr>
      <w:r>
        <w:rPr>
          <w:rFonts w:eastAsia="楷体_GB2312;楷体" w:cs="Times New Roman" w:ascii="Times New Roman" w:hAnsi="Times New Roman"/>
          <w:color w:val="000000"/>
          <w:w w:val="100"/>
          <w:sz w:val="44"/>
          <w:szCs w:val="44"/>
        </w:rPr>
      </w:r>
    </w:p>
    <w:p>
      <w:pPr>
        <w:pStyle w:val="Normal"/>
        <w:keepNext w:val="false"/>
        <w:keepLines w:val="false"/>
        <w:pageBreakBefore w:val="false"/>
        <w:widowControl w:val="false"/>
        <w:kinsoku w:val="true"/>
        <w:overflowPunct w:val="true"/>
        <w:autoSpaceDE w:val="false"/>
        <w:bidi w:val="0"/>
        <w:snapToGrid w:val="true"/>
        <w:spacing w:lineRule="exact" w:line="590"/>
        <w:ind w:firstLineChars="0" w:firstLine="0" w:startChars="0" w:start="0" w:endChars="0" w:end="0"/>
        <w:jc w:val="center"/>
        <w:rPr>
          <w:rFonts w:ascii="Times New Roman" w:hAnsi="Times New Roman" w:eastAsia="黑体" w:cs="Times New Roman"/>
          <w:color w:val="000000"/>
          <w:sz w:val="32"/>
          <w:szCs w:val="32"/>
        </w:rPr>
      </w:pPr>
      <w:r>
        <w:rPr>
          <w:rFonts w:ascii="Times New Roman" w:hAnsi="Times New Roman" w:cs="Times New Roman" w:eastAsia="黑体"/>
          <w:color w:val="000000"/>
          <w:sz w:val="32"/>
          <w:szCs w:val="32"/>
        </w:rPr>
        <w:t>第一章　总　则</w:t>
      </w:r>
    </w:p>
    <w:p>
      <w:pPr>
        <w:pStyle w:val="Normal"/>
        <w:keepNext w:val="false"/>
        <w:keepLines w:val="false"/>
        <w:pageBreakBefore w:val="false"/>
        <w:widowControl w:val="false"/>
        <w:kinsoku w:val="true"/>
        <w:overflowPunct w:val="true"/>
        <w:autoSpaceDE w:val="false"/>
        <w:bidi w:val="0"/>
        <w:snapToGrid w:val="true"/>
        <w:spacing w:lineRule="exact" w:line="590"/>
        <w:ind w:firstLineChars="0" w:firstLine="0" w:startChars="0" w:start="0" w:endChars="0" w:end="0"/>
        <w:jc w:val="center"/>
        <w:rPr>
          <w:rFonts w:ascii="Times New Roman" w:hAnsi="Times New Roman" w:eastAsia="黑体" w:cs="Times New Roman"/>
          <w:color w:val="000000"/>
          <w:sz w:val="32"/>
          <w:szCs w:val="32"/>
        </w:rPr>
      </w:pPr>
      <w:r>
        <w:rPr>
          <w:rFonts w:eastAsia="黑体" w:cs="Times New Roman" w:ascii="Times New Roman" w:hAnsi="Times New Roman"/>
          <w:color w:val="000000"/>
          <w:sz w:val="32"/>
          <w:szCs w:val="32"/>
        </w:rPr>
      </w:r>
    </w:p>
    <w:p>
      <w:pPr>
        <w:pStyle w:val="Normal"/>
        <w:keepNext w:val="false"/>
        <w:keepLines w:val="false"/>
        <w:pageBreakBefore w:val="false"/>
        <w:widowControl w:val="false"/>
        <w:kinsoku w:val="true"/>
        <w:overflowPunct w:val="true"/>
        <w:autoSpaceDE w:val="false"/>
        <w:bidi w:val="0"/>
        <w:snapToGrid w:val="true"/>
        <w:spacing w:lineRule="exact" w:line="590"/>
        <w:ind w:firstLineChars="200" w:startChars="0" w:start="0" w:endChars="0" w:end="0"/>
        <w:rPr>
          <w:rFonts w:ascii="Times New Roman" w:hAnsi="Times New Roman" w:eastAsia="仿宋_GB2312;仿宋" w:cs="Times New Roman"/>
          <w:color w:val="000000"/>
          <w:sz w:val="32"/>
          <w:szCs w:val="32"/>
        </w:rPr>
      </w:pPr>
      <w:r>
        <w:rPr>
          <w:rFonts w:ascii="Times New Roman" w:hAnsi="Times New Roman" w:cs="Times New Roman" w:eastAsia="黑体"/>
          <w:color w:val="000000"/>
          <w:sz w:val="32"/>
          <w:szCs w:val="32"/>
        </w:rPr>
        <w:t>第一条　</w:t>
      </w:r>
      <w:r>
        <w:rPr>
          <w:rFonts w:ascii="Times New Roman" w:hAnsi="Times New Roman" w:cs="Times New Roman" w:eastAsia="仿宋_GB2312;仿宋"/>
          <w:color w:val="000000"/>
          <w:sz w:val="32"/>
          <w:szCs w:val="32"/>
        </w:rPr>
        <w:t>为了加强涑水河流域生态修复与保护，规范流域开发、利用、治理等活动，推进生态文明建设，促进经济社会可持续发展，根据《中华人民共和国水法》《中华人民共和国环境保护法》《中华人民共和国水污染防治法》等法律、法规，结合本市实际，制定本条例。</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rPr>
          <w:rFonts w:ascii="Times New Roman" w:hAnsi="Times New Roman" w:eastAsia="仿宋_GB2312;仿宋" w:cs="Times New Roman" w:hint="eastAsia"/>
          <w:color w:val="000000"/>
          <w:sz w:val="32"/>
          <w:szCs w:val="32"/>
        </w:rPr>
      </w:pPr>
      <w:r>
        <w:rPr>
          <w:rFonts w:ascii="Times New Roman" w:hAnsi="Times New Roman" w:cs="Times New Roman" w:eastAsia="黑体"/>
          <w:color w:val="000000"/>
          <w:sz w:val="32"/>
          <w:szCs w:val="32"/>
        </w:rPr>
        <w:t>第二条　</w:t>
      </w:r>
      <w:r>
        <w:rPr>
          <w:rFonts w:ascii="Times New Roman" w:hAnsi="Times New Roman" w:cs="Times New Roman" w:hint="eastAsia" w:eastAsia="仿宋_GB2312;仿宋"/>
          <w:color w:val="000000"/>
          <w:sz w:val="32"/>
          <w:szCs w:val="32"/>
        </w:rPr>
        <w:t>本条例所称涑水河流域，是指涑水河干流及其支流汇水面积内的水域和陆域以及跨流域向涑水河补水的水源和输水工程沿线管理范围。</w:t>
      </w:r>
    </w:p>
    <w:p>
      <w:pPr>
        <w:pStyle w:val="Normal"/>
        <w:keepNext w:val="false"/>
        <w:keepLines w:val="false"/>
        <w:pageBreakBefore w:val="false"/>
        <w:widowControl w:val="false"/>
        <w:kinsoku w:val="true"/>
        <w:overflowPunct w:val="true"/>
        <w:autoSpaceDE w:val="false"/>
        <w:bidi w:val="0"/>
        <w:snapToGrid w:val="true"/>
        <w:spacing w:lineRule="exact" w:line="590"/>
        <w:ind w:firstLineChars="200" w:startChars="0" w:start="0" w:endChars="0" w:end="0"/>
        <w:rPr>
          <w:rFonts w:ascii="Times New Roman" w:hAnsi="Times New Roman" w:eastAsia="仿宋_GB2312;仿宋" w:cs="Times New Roman" w:hint="eastAsia"/>
          <w:color w:val="000000"/>
          <w:sz w:val="32"/>
          <w:szCs w:val="32"/>
        </w:rPr>
      </w:pPr>
      <w:r>
        <w:rPr>
          <w:rFonts w:ascii="Times New Roman" w:hAnsi="Times New Roman" w:cs="Times New Roman" w:eastAsia="黑体"/>
          <w:color w:val="000000"/>
          <w:sz w:val="32"/>
          <w:szCs w:val="32"/>
        </w:rPr>
        <w:t>第三条</w:t>
      </w:r>
      <w:r>
        <w:rPr>
          <w:rFonts w:ascii="Times New Roman" w:hAnsi="Times New Roman" w:cs="Times New Roman" w:eastAsia="仿宋_GB2312;仿宋"/>
          <w:color w:val="000000"/>
          <w:sz w:val="32"/>
          <w:szCs w:val="32"/>
        </w:rPr>
        <w:t>　</w:t>
      </w:r>
      <w:r>
        <w:rPr>
          <w:rFonts w:ascii="Times New Roman" w:hAnsi="Times New Roman" w:cs="Times New Roman" w:hint="eastAsia" w:eastAsia="仿宋_GB2312;仿宋"/>
          <w:color w:val="000000"/>
          <w:sz w:val="32"/>
          <w:szCs w:val="32"/>
        </w:rPr>
        <w:t>在涑水河流域内从事生产、生活、生态修复与保护以及监督管理等活动，应当遵守本条例。</w:t>
      </w:r>
    </w:p>
    <w:p>
      <w:pPr>
        <w:pStyle w:val="Normal"/>
        <w:keepNext w:val="false"/>
        <w:keepLines w:val="false"/>
        <w:pageBreakBefore w:val="false"/>
        <w:widowControl w:val="false"/>
        <w:kinsoku w:val="true"/>
        <w:overflowPunct w:val="true"/>
        <w:autoSpaceDE w:val="false"/>
        <w:bidi w:val="0"/>
        <w:snapToGrid w:val="true"/>
        <w:spacing w:lineRule="exact" w:line="590"/>
        <w:ind w:firstLineChars="200" w:startChars="0" w:start="0" w:endChars="0" w:end="0"/>
        <w:rPr>
          <w:rFonts w:ascii="Times New Roman" w:hAnsi="Times New Roman" w:eastAsia="仿宋_GB2312;仿宋" w:cs="Times New Roman" w:hint="eastAsia"/>
          <w:color w:val="000000"/>
          <w:sz w:val="32"/>
          <w:szCs w:val="32"/>
        </w:rPr>
      </w:pPr>
      <w:r>
        <w:rPr>
          <w:rFonts w:ascii="Times New Roman" w:hAnsi="Times New Roman" w:cs="Times New Roman" w:eastAsia="黑体"/>
          <w:color w:val="000000"/>
          <w:sz w:val="32"/>
          <w:szCs w:val="32"/>
        </w:rPr>
        <w:t>第四条　</w:t>
      </w:r>
      <w:r>
        <w:rPr>
          <w:rFonts w:ascii="Times New Roman" w:hAnsi="Times New Roman" w:cs="Times New Roman" w:hint="eastAsia" w:eastAsia="仿宋_GB2312;仿宋"/>
          <w:color w:val="000000"/>
          <w:sz w:val="32"/>
          <w:szCs w:val="32"/>
        </w:rPr>
        <w:t>涑水河流域生态修复与保护应当坚持统一规划、保护优先、因地制宜、科学修复的原则。</w:t>
      </w:r>
    </w:p>
    <w:p>
      <w:pPr>
        <w:pStyle w:val="Normal"/>
        <w:keepNext w:val="false"/>
        <w:keepLines w:val="false"/>
        <w:pageBreakBefore w:val="false"/>
        <w:widowControl w:val="false"/>
        <w:kinsoku w:val="true"/>
        <w:overflowPunct w:val="true"/>
        <w:autoSpaceDE w:val="false"/>
        <w:bidi w:val="0"/>
        <w:snapToGrid w:val="true"/>
        <w:spacing w:lineRule="exact" w:line="590"/>
        <w:ind w:firstLineChars="200" w:startChars="0" w:start="0" w:endChars="0" w:end="0"/>
        <w:rPr>
          <w:rFonts w:ascii="Times New Roman" w:hAnsi="Times New Roman" w:eastAsia="仿宋_GB2312;仿宋" w:cs="Times New Roman" w:hint="eastAsia"/>
          <w:color w:val="000000"/>
          <w:sz w:val="32"/>
          <w:szCs w:val="32"/>
        </w:rPr>
      </w:pPr>
      <w:r>
        <w:rPr>
          <w:rFonts w:ascii="Times New Roman" w:hAnsi="Times New Roman" w:cs="Times New Roman" w:eastAsia="黑体"/>
          <w:color w:val="000000"/>
          <w:sz w:val="32"/>
          <w:szCs w:val="32"/>
        </w:rPr>
        <w:t>第五条　</w:t>
      </w:r>
      <w:r>
        <w:rPr>
          <w:rFonts w:ascii="Times New Roman" w:hAnsi="Times New Roman" w:cs="Times New Roman" w:hint="eastAsia" w:eastAsia="仿宋_GB2312;仿宋"/>
          <w:color w:val="000000"/>
          <w:sz w:val="32"/>
          <w:szCs w:val="32"/>
        </w:rPr>
        <w:t>市人民政府和流域内县（市、区）人民政府应当将涑水河流域生态修复与保护工作纳入国民经济和社会发展规划，并组织实施。</w:t>
      </w:r>
    </w:p>
    <w:p>
      <w:pPr>
        <w:pStyle w:val="Normal"/>
        <w:keepNext w:val="false"/>
        <w:keepLines w:val="false"/>
        <w:pageBreakBefore w:val="false"/>
        <w:widowControl w:val="false"/>
        <w:kinsoku w:val="true"/>
        <w:overflowPunct w:val="true"/>
        <w:autoSpaceDE w:val="false"/>
        <w:bidi w:val="0"/>
        <w:snapToGrid w:val="true"/>
        <w:spacing w:lineRule="exact" w:line="590"/>
        <w:ind w:firstLineChars="200" w:startChars="0" w:start="0" w:endChars="0" w:end="0"/>
        <w:rPr>
          <w:rFonts w:ascii="Times New Roman" w:hAnsi="Times New Roman" w:eastAsia="仿宋_GB2312;仿宋" w:cs="Times New Roman" w:hint="eastAsia"/>
          <w:color w:val="000000"/>
          <w:sz w:val="32"/>
          <w:szCs w:val="32"/>
        </w:rPr>
      </w:pPr>
      <w:r>
        <w:rPr>
          <w:rFonts w:ascii="Times New Roman" w:hAnsi="Times New Roman" w:cs="Times New Roman" w:hint="eastAsia" w:eastAsia="仿宋_GB2312;仿宋"/>
          <w:color w:val="000000"/>
          <w:sz w:val="32"/>
          <w:szCs w:val="32"/>
        </w:rPr>
        <w:t>市人民政府发展和改革行政主管部门应当会同经济和信息化、水利和环境保护等行政主管部门，制定涑水河流域限制、禁止发展的产业目录，报市人民政府批准后公布实施。</w:t>
      </w:r>
    </w:p>
    <w:p>
      <w:pPr>
        <w:pStyle w:val="Normal"/>
        <w:keepNext w:val="false"/>
        <w:keepLines w:val="false"/>
        <w:pageBreakBefore w:val="false"/>
        <w:widowControl w:val="false"/>
        <w:kinsoku w:val="true"/>
        <w:overflowPunct w:val="true"/>
        <w:autoSpaceDE w:val="false"/>
        <w:bidi w:val="0"/>
        <w:snapToGrid w:val="true"/>
        <w:spacing w:lineRule="exact" w:line="590"/>
        <w:ind w:firstLineChars="200" w:startChars="0" w:start="0" w:endChars="0" w:end="0"/>
        <w:rPr>
          <w:rFonts w:ascii="Times New Roman" w:hAnsi="Times New Roman" w:eastAsia="仿宋_GB2312;仿宋" w:cs="Times New Roman" w:hint="eastAsia"/>
          <w:color w:val="000000"/>
          <w:sz w:val="32"/>
          <w:szCs w:val="32"/>
        </w:rPr>
      </w:pPr>
      <w:r>
        <w:rPr>
          <w:rFonts w:ascii="Times New Roman" w:hAnsi="Times New Roman" w:cs="Times New Roman" w:eastAsia="黑体"/>
          <w:color w:val="000000"/>
          <w:sz w:val="32"/>
          <w:szCs w:val="32"/>
        </w:rPr>
        <w:t>第六条　</w:t>
      </w:r>
      <w:r>
        <w:rPr>
          <w:rFonts w:ascii="Times New Roman" w:hAnsi="Times New Roman" w:cs="Times New Roman" w:hint="eastAsia" w:eastAsia="仿宋_GB2312;仿宋"/>
          <w:color w:val="000000"/>
          <w:sz w:val="32"/>
          <w:szCs w:val="32"/>
        </w:rPr>
        <w:t>涑水河流域生态修复与保护实行统一管理与分级管理相结合的体制。</w:t>
      </w:r>
    </w:p>
    <w:p>
      <w:pPr>
        <w:pStyle w:val="Normal"/>
        <w:keepNext w:val="false"/>
        <w:keepLines w:val="false"/>
        <w:pageBreakBefore w:val="false"/>
        <w:widowControl w:val="false"/>
        <w:kinsoku w:val="true"/>
        <w:overflowPunct w:val="true"/>
        <w:autoSpaceDE w:val="false"/>
        <w:bidi w:val="0"/>
        <w:snapToGrid w:val="true"/>
        <w:spacing w:lineRule="exact" w:line="590"/>
        <w:ind w:firstLineChars="200" w:startChars="0" w:start="0" w:endChars="0" w:end="0"/>
        <w:rPr>
          <w:rFonts w:ascii="Times New Roman" w:hAnsi="Times New Roman" w:eastAsia="仿宋_GB2312;仿宋" w:cs="Times New Roman" w:hint="eastAsia"/>
          <w:color w:val="000000"/>
          <w:sz w:val="32"/>
          <w:szCs w:val="32"/>
        </w:rPr>
      </w:pPr>
      <w:r>
        <w:rPr>
          <w:rFonts w:ascii="Times New Roman" w:hAnsi="Times New Roman" w:cs="Times New Roman" w:hint="eastAsia" w:eastAsia="仿宋_GB2312;仿宋"/>
          <w:color w:val="000000"/>
          <w:sz w:val="32"/>
          <w:szCs w:val="32"/>
        </w:rPr>
        <w:t>市人民政府全面负责涑水河流域生态修复与保护工作。流域内县（市、区）人民政府负责本行政区域内涑水河流域生态修复与保护工作。</w:t>
      </w:r>
    </w:p>
    <w:p>
      <w:pPr>
        <w:pStyle w:val="Normal"/>
        <w:keepNext w:val="false"/>
        <w:keepLines w:val="false"/>
        <w:pageBreakBefore w:val="false"/>
        <w:widowControl w:val="false"/>
        <w:kinsoku w:val="true"/>
        <w:overflowPunct w:val="true"/>
        <w:autoSpaceDE w:val="false"/>
        <w:bidi w:val="0"/>
        <w:snapToGrid w:val="true"/>
        <w:spacing w:lineRule="exact" w:line="590"/>
        <w:ind w:firstLineChars="200" w:startChars="0" w:start="0" w:endChars="0" w:end="0"/>
        <w:rPr>
          <w:rFonts w:ascii="Times New Roman" w:hAnsi="Times New Roman" w:eastAsia="仿宋_GB2312;仿宋" w:cs="Times New Roman" w:hint="eastAsia"/>
          <w:color w:val="000000"/>
          <w:sz w:val="32"/>
          <w:szCs w:val="32"/>
        </w:rPr>
      </w:pPr>
      <w:r>
        <w:rPr>
          <w:rFonts w:ascii="Times New Roman" w:hAnsi="Times New Roman" w:cs="Times New Roman" w:hint="eastAsia" w:eastAsia="仿宋_GB2312;仿宋"/>
          <w:color w:val="000000"/>
          <w:sz w:val="32"/>
          <w:szCs w:val="32"/>
        </w:rPr>
        <w:t>市人民政府和流域内县（市、区）人民政府发展和改革、经济和信息化、住房和城乡建设、环境保护、水利、国土资源、林业、旅游等行政主管部门按照各自职责，负责涑水河流域生态修复与保护的相关工作。</w:t>
      </w:r>
    </w:p>
    <w:p>
      <w:pPr>
        <w:pStyle w:val="Normal"/>
        <w:keepNext w:val="false"/>
        <w:keepLines w:val="false"/>
        <w:pageBreakBefore w:val="false"/>
        <w:widowControl w:val="false"/>
        <w:kinsoku w:val="true"/>
        <w:overflowPunct w:val="true"/>
        <w:autoSpaceDE w:val="false"/>
        <w:bidi w:val="0"/>
        <w:snapToGrid w:val="true"/>
        <w:spacing w:lineRule="exact" w:line="590"/>
        <w:ind w:firstLineChars="200" w:startChars="0" w:start="0" w:endChars="0" w:end="0"/>
        <w:rPr>
          <w:rFonts w:ascii="Times New Roman" w:hAnsi="Times New Roman" w:eastAsia="仿宋_GB2312;仿宋" w:cs="Times New Roman" w:hint="eastAsia"/>
          <w:color w:val="000000"/>
          <w:sz w:val="32"/>
          <w:szCs w:val="32"/>
        </w:rPr>
      </w:pPr>
      <w:r>
        <w:rPr>
          <w:rFonts w:ascii="Times New Roman" w:hAnsi="Times New Roman" w:cs="Times New Roman" w:eastAsia="黑体"/>
          <w:color w:val="000000"/>
          <w:sz w:val="32"/>
          <w:szCs w:val="32"/>
        </w:rPr>
        <w:t xml:space="preserve">第七条  </w:t>
      </w:r>
      <w:r>
        <w:rPr>
          <w:rFonts w:ascii="Times New Roman" w:hAnsi="Times New Roman" w:cs="Times New Roman" w:hint="eastAsia" w:eastAsia="仿宋_GB2312;仿宋"/>
          <w:color w:val="000000"/>
          <w:sz w:val="32"/>
          <w:szCs w:val="32"/>
        </w:rPr>
        <w:t>市、县（市、区）、乡（镇）人民政府应当分级分段设立河长，负责组织领导本行政区域内涑水河及其支流的水资源保护、河湖水域岸线管理保护、水污染防治、水环境治理、水生态修复和执法监管等工作。</w:t>
      </w:r>
    </w:p>
    <w:p>
      <w:pPr>
        <w:pStyle w:val="Normal"/>
        <w:keepNext w:val="false"/>
        <w:keepLines w:val="false"/>
        <w:pageBreakBefore w:val="false"/>
        <w:widowControl w:val="false"/>
        <w:kinsoku w:val="true"/>
        <w:overflowPunct w:val="true"/>
        <w:autoSpaceDE w:val="false"/>
        <w:bidi w:val="0"/>
        <w:snapToGrid w:val="true"/>
        <w:spacing w:lineRule="exact" w:line="590"/>
        <w:ind w:firstLineChars="200" w:startChars="0" w:start="0" w:endChars="0" w:end="0"/>
        <w:rPr>
          <w:rFonts w:ascii="Times New Roman" w:hAnsi="Times New Roman" w:eastAsia="仿宋_GB2312;仿宋" w:cs="Times New Roman" w:hint="eastAsia"/>
          <w:color w:val="000000"/>
          <w:sz w:val="32"/>
          <w:szCs w:val="32"/>
        </w:rPr>
      </w:pPr>
      <w:r>
        <w:rPr>
          <w:rFonts w:ascii="Times New Roman" w:hAnsi="Times New Roman" w:cs="Times New Roman" w:eastAsia="黑体"/>
          <w:color w:val="000000"/>
          <w:spacing w:val="-1"/>
          <w:w w:val="99"/>
          <w:sz w:val="32"/>
          <w:szCs w:val="32"/>
        </w:rPr>
        <w:t>第八条</w:t>
      </w:r>
      <w:r>
        <w:rPr>
          <w:rFonts w:ascii="宋体" w:hAnsi="宋体" w:cs="宋体" w:hint="eastAsia"/>
          <w:color w:val="000000"/>
          <w:spacing w:val="-1"/>
          <w:w w:val="99"/>
          <w:sz w:val="32"/>
          <w:szCs w:val="32"/>
        </w:rPr>
        <w:t>　</w:t>
      </w:r>
      <w:r>
        <w:rPr>
          <w:rFonts w:ascii="Times New Roman" w:hAnsi="Times New Roman" w:cs="Times New Roman" w:hint="eastAsia" w:eastAsia="仿宋_GB2312;仿宋"/>
          <w:color w:val="000000"/>
          <w:sz w:val="32"/>
          <w:szCs w:val="32"/>
        </w:rPr>
        <w:t>市人民政府和流域内县（市、区）人民政府应当加大财政资金对涑水河流域生态修复与保护的投入，将河道工程维护、防护林建设和农业废弃物处置回收等所需费用列入年度财政预算。</w:t>
      </w:r>
    </w:p>
    <w:p>
      <w:pPr>
        <w:pStyle w:val="Normal"/>
        <w:keepNext w:val="false"/>
        <w:keepLines w:val="false"/>
        <w:pageBreakBefore w:val="false"/>
        <w:widowControl w:val="false"/>
        <w:kinsoku w:val="true"/>
        <w:overflowPunct w:val="true"/>
        <w:autoSpaceDE w:val="false"/>
        <w:bidi w:val="0"/>
        <w:snapToGrid w:val="true"/>
        <w:spacing w:lineRule="exact" w:line="590"/>
        <w:ind w:firstLineChars="200" w:startChars="0" w:start="0" w:endChars="0" w:end="0"/>
        <w:rPr>
          <w:rFonts w:ascii="Times New Roman" w:hAnsi="Times New Roman" w:eastAsia="仿宋_GB2312;仿宋" w:cs="Times New Roman" w:hint="eastAsia"/>
          <w:color w:val="000000"/>
          <w:sz w:val="32"/>
          <w:szCs w:val="32"/>
        </w:rPr>
      </w:pPr>
      <w:r>
        <w:rPr>
          <w:rFonts w:ascii="Times New Roman" w:hAnsi="Times New Roman" w:cs="Times New Roman" w:hint="eastAsia" w:eastAsia="仿宋_GB2312;仿宋"/>
          <w:color w:val="000000"/>
          <w:sz w:val="32"/>
          <w:szCs w:val="32"/>
        </w:rPr>
        <w:t>鼓励引导社会资金参与涑水河流域生态修复与保护。</w:t>
      </w:r>
    </w:p>
    <w:p>
      <w:pPr>
        <w:pStyle w:val="Normal"/>
        <w:keepNext w:val="false"/>
        <w:keepLines w:val="false"/>
        <w:pageBreakBefore w:val="false"/>
        <w:widowControl w:val="false"/>
        <w:kinsoku w:val="true"/>
        <w:overflowPunct w:val="true"/>
        <w:autoSpaceDE w:val="false"/>
        <w:bidi w:val="0"/>
        <w:snapToGrid w:val="true"/>
        <w:spacing w:lineRule="exact" w:line="590"/>
        <w:ind w:firstLineChars="200" w:startChars="0" w:start="0" w:endChars="0" w:end="0"/>
        <w:rPr>
          <w:rFonts w:ascii="Times New Roman" w:hAnsi="Times New Roman" w:eastAsia="仿宋_GB2312;仿宋" w:cs="Times New Roman" w:hint="eastAsia"/>
          <w:color w:val="000000"/>
          <w:sz w:val="32"/>
          <w:szCs w:val="32"/>
        </w:rPr>
      </w:pPr>
      <w:r>
        <w:rPr>
          <w:rFonts w:ascii="Times New Roman" w:hAnsi="Times New Roman" w:cs="Times New Roman" w:eastAsia="黑体"/>
          <w:color w:val="000000"/>
          <w:sz w:val="32"/>
          <w:szCs w:val="32"/>
        </w:rPr>
        <w:t>第九条</w:t>
      </w:r>
      <w:r>
        <w:rPr>
          <w:rFonts w:ascii="Times New Roman" w:hAnsi="Times New Roman" w:cs="Times New Roman" w:eastAsia="仿宋_GB2312;仿宋"/>
          <w:color w:val="000000"/>
          <w:sz w:val="32"/>
          <w:szCs w:val="32"/>
        </w:rPr>
        <w:t>　</w:t>
      </w:r>
      <w:r>
        <w:rPr>
          <w:rFonts w:ascii="Times New Roman" w:hAnsi="Times New Roman" w:cs="Times New Roman" w:hint="eastAsia" w:eastAsia="仿宋_GB2312;仿宋"/>
          <w:color w:val="000000"/>
          <w:sz w:val="32"/>
          <w:szCs w:val="32"/>
        </w:rPr>
        <w:t>任何单位和个人都有保护涑水河流域生态环境的义务，并有权对损害流域生态环境的行为进行检举和制止。</w:t>
      </w:r>
    </w:p>
    <w:p>
      <w:pPr>
        <w:pStyle w:val="Normal"/>
        <w:keepNext w:val="false"/>
        <w:keepLines w:val="false"/>
        <w:pageBreakBefore w:val="false"/>
        <w:widowControl w:val="false"/>
        <w:kinsoku w:val="true"/>
        <w:overflowPunct w:val="true"/>
        <w:autoSpaceDE w:val="false"/>
        <w:bidi w:val="0"/>
        <w:snapToGrid w:val="true"/>
        <w:spacing w:lineRule="exact" w:line="590"/>
        <w:ind w:firstLineChars="200" w:startChars="0" w:start="0" w:endChars="0" w:end="0"/>
        <w:rPr>
          <w:rFonts w:ascii="Times New Roman" w:hAnsi="Times New Roman" w:eastAsia="仿宋_GB2312;仿宋" w:cs="Times New Roman" w:hint="eastAsia"/>
          <w:color w:val="000000"/>
          <w:sz w:val="32"/>
          <w:szCs w:val="32"/>
        </w:rPr>
      </w:pPr>
      <w:r>
        <w:rPr>
          <w:rFonts w:ascii="Times New Roman" w:hAnsi="Times New Roman" w:cs="Times New Roman" w:eastAsia="黑体"/>
          <w:color w:val="000000"/>
          <w:spacing w:val="-2"/>
          <w:sz w:val="32"/>
          <w:szCs w:val="32"/>
        </w:rPr>
        <w:t>第十条　</w:t>
      </w:r>
      <w:r>
        <w:rPr>
          <w:rFonts w:ascii="Times New Roman" w:hAnsi="Times New Roman" w:cs="Times New Roman" w:hint="eastAsia" w:eastAsia="仿宋_GB2312;仿宋"/>
          <w:color w:val="000000"/>
          <w:sz w:val="32"/>
          <w:szCs w:val="32"/>
        </w:rPr>
        <w:t>跨行政区域的涑水河流域生态修复与保护纠纷，由流域内县（市、区）人民政府协商解决，协商不成的由市人民政府协调解决。</w:t>
      </w:r>
    </w:p>
    <w:p>
      <w:pPr>
        <w:pStyle w:val="Normal"/>
        <w:keepNext w:val="false"/>
        <w:keepLines w:val="false"/>
        <w:pageBreakBefore w:val="false"/>
        <w:widowControl w:val="false"/>
        <w:kinsoku w:val="true"/>
        <w:overflowPunct w:val="true"/>
        <w:autoSpaceDE w:val="false"/>
        <w:bidi w:val="0"/>
        <w:snapToGrid w:val="true"/>
        <w:spacing w:lineRule="exact" w:line="590"/>
        <w:ind w:firstLineChars="0" w:firstLine="0" w:startChars="0" w:start="0" w:endChars="0" w:end="0"/>
        <w:jc w:val="center"/>
        <w:rPr>
          <w:rFonts w:ascii="宋体" w:hAnsi="宋体" w:eastAsia="宋体" w:cs="宋体" w:hint="eastAsia"/>
          <w:color w:val="000000"/>
          <w:sz w:val="32"/>
          <w:szCs w:val="32"/>
        </w:rPr>
      </w:pPr>
      <w:r>
        <w:rPr>
          <w:rFonts w:eastAsia="宋体" w:cs="宋体" w:hint="eastAsia" w:ascii="宋体" w:hAnsi="宋体"/>
          <w:color w:val="000000"/>
          <w:sz w:val="32"/>
          <w:szCs w:val="32"/>
        </w:rPr>
      </w:r>
    </w:p>
    <w:p>
      <w:pPr>
        <w:pStyle w:val="Normal"/>
        <w:keepNext w:val="false"/>
        <w:keepLines w:val="false"/>
        <w:pageBreakBefore w:val="false"/>
        <w:widowControl w:val="false"/>
        <w:kinsoku w:val="true"/>
        <w:overflowPunct w:val="true"/>
        <w:autoSpaceDE w:val="false"/>
        <w:bidi w:val="0"/>
        <w:snapToGrid w:val="true"/>
        <w:spacing w:lineRule="exact" w:line="590"/>
        <w:ind w:firstLineChars="0" w:firstLine="0" w:startChars="0" w:start="0" w:endChars="0" w:end="0"/>
        <w:jc w:val="center"/>
        <w:rPr>
          <w:rFonts w:ascii="Times New Roman" w:hAnsi="Times New Roman" w:eastAsia="黑体" w:cs="Times New Roman"/>
          <w:color w:val="000000"/>
          <w:sz w:val="32"/>
          <w:szCs w:val="32"/>
        </w:rPr>
      </w:pPr>
      <w:r>
        <w:rPr>
          <w:rFonts w:ascii="Times New Roman" w:hAnsi="Times New Roman" w:cs="Times New Roman" w:eastAsia="黑体"/>
          <w:color w:val="000000"/>
          <w:sz w:val="32"/>
          <w:szCs w:val="32"/>
        </w:rPr>
        <w:t>第二章　生态修复</w:t>
      </w:r>
    </w:p>
    <w:p>
      <w:pPr>
        <w:pStyle w:val="Normal"/>
        <w:keepNext w:val="false"/>
        <w:keepLines w:val="false"/>
        <w:pageBreakBefore w:val="false"/>
        <w:widowControl w:val="false"/>
        <w:kinsoku w:val="true"/>
        <w:overflowPunct w:val="true"/>
        <w:autoSpaceDE w:val="false"/>
        <w:bidi w:val="0"/>
        <w:snapToGrid w:val="true"/>
        <w:spacing w:lineRule="exact" w:line="590"/>
        <w:ind w:firstLineChars="200" w:startChars="0" w:start="0" w:endChars="0" w:end="0"/>
        <w:jc w:val="center"/>
        <w:rPr>
          <w:rFonts w:ascii="Times New Roman" w:hAnsi="Times New Roman" w:eastAsia="黑体" w:cs="Times New Roman"/>
          <w:color w:val="000000"/>
          <w:sz w:val="32"/>
          <w:szCs w:val="32"/>
        </w:rPr>
      </w:pPr>
      <w:r>
        <w:rPr>
          <w:rFonts w:eastAsia="黑体" w:cs="Times New Roman" w:ascii="Times New Roman" w:hAnsi="Times New Roman"/>
          <w:color w:val="000000"/>
          <w:sz w:val="32"/>
          <w:szCs w:val="32"/>
        </w:rPr>
      </w:r>
    </w:p>
    <w:p>
      <w:pPr>
        <w:pStyle w:val="Normal"/>
        <w:keepNext w:val="false"/>
        <w:keepLines w:val="false"/>
        <w:pageBreakBefore w:val="false"/>
        <w:widowControl w:val="false"/>
        <w:kinsoku w:val="true"/>
        <w:overflowPunct w:val="true"/>
        <w:autoSpaceDE w:val="false"/>
        <w:bidi w:val="0"/>
        <w:snapToGrid w:val="true"/>
        <w:spacing w:lineRule="exact" w:line="590"/>
        <w:ind w:firstLineChars="200" w:startChars="0" w:start="0" w:endChars="0" w:end="0"/>
        <w:rPr>
          <w:rFonts w:ascii="Times New Roman" w:hAnsi="Times New Roman" w:eastAsia="仿宋_GB2312;仿宋" w:cs="Times New Roman" w:hint="eastAsia"/>
          <w:color w:val="000000"/>
          <w:sz w:val="32"/>
          <w:szCs w:val="32"/>
        </w:rPr>
      </w:pPr>
      <w:r>
        <w:rPr>
          <w:rFonts w:ascii="Times New Roman" w:hAnsi="Times New Roman" w:cs="Times New Roman" w:eastAsia="黑体"/>
          <w:color w:val="000000"/>
          <w:sz w:val="32"/>
          <w:szCs w:val="32"/>
        </w:rPr>
        <w:t>第十一条　</w:t>
      </w:r>
      <w:r>
        <w:rPr>
          <w:rFonts w:ascii="Times New Roman" w:hAnsi="Times New Roman" w:cs="Times New Roman" w:hint="eastAsia" w:eastAsia="仿宋_GB2312;仿宋"/>
          <w:color w:val="000000"/>
          <w:sz w:val="32"/>
          <w:szCs w:val="32"/>
        </w:rPr>
        <w:t>涑水河流域生态修复应当坚持自然修复与人工修复相结合，实行山、水、林、田、湖、草综合治理，提高流域生态环境承载能力。</w:t>
      </w:r>
    </w:p>
    <w:p>
      <w:pPr>
        <w:pStyle w:val="Normal"/>
        <w:keepNext w:val="false"/>
        <w:keepLines w:val="false"/>
        <w:pageBreakBefore w:val="false"/>
        <w:widowControl w:val="false"/>
        <w:kinsoku w:val="true"/>
        <w:overflowPunct w:val="true"/>
        <w:autoSpaceDE w:val="false"/>
        <w:bidi w:val="0"/>
        <w:snapToGrid w:val="true"/>
        <w:spacing w:lineRule="exact" w:line="590"/>
        <w:ind w:firstLineChars="200" w:startChars="0" w:start="0" w:endChars="0" w:end="0"/>
        <w:rPr>
          <w:rFonts w:ascii="Times New Roman" w:hAnsi="Times New Roman" w:eastAsia="仿宋_GB2312;仿宋" w:cs="Times New Roman" w:hint="eastAsia"/>
          <w:color w:val="000000"/>
          <w:sz w:val="32"/>
          <w:szCs w:val="32"/>
        </w:rPr>
      </w:pPr>
      <w:r>
        <w:rPr>
          <w:rFonts w:ascii="Times New Roman" w:hAnsi="Times New Roman" w:cs="Times New Roman" w:eastAsia="黑体"/>
          <w:color w:val="000000"/>
          <w:sz w:val="32"/>
          <w:szCs w:val="32"/>
        </w:rPr>
        <w:t>第十二条</w:t>
      </w:r>
      <w:r>
        <w:rPr>
          <w:rFonts w:ascii="宋体" w:hAnsi="宋体" w:cs="宋体" w:hint="eastAsia"/>
          <w:color w:val="000000"/>
          <w:sz w:val="32"/>
          <w:szCs w:val="32"/>
        </w:rPr>
        <w:t>　</w:t>
      </w:r>
      <w:r>
        <w:rPr>
          <w:rFonts w:ascii="Times New Roman" w:hAnsi="Times New Roman" w:cs="Times New Roman" w:hint="eastAsia" w:eastAsia="仿宋_GB2312;仿宋"/>
          <w:color w:val="000000"/>
          <w:sz w:val="32"/>
          <w:szCs w:val="32"/>
        </w:rPr>
        <w:t>市人民政府和流域内县（市、区）人民政府水行政主管部门应当优化涑水河流域水资源配置，优先利用地表水，增加使用再生水，合理利用外调水，有效涵养地下水，推进河湖水系连通，实现多源互补，恢复流域生态功能。</w:t>
      </w:r>
    </w:p>
    <w:p>
      <w:pPr>
        <w:pStyle w:val="Normal"/>
        <w:keepNext w:val="false"/>
        <w:keepLines w:val="false"/>
        <w:pageBreakBefore w:val="false"/>
        <w:widowControl w:val="false"/>
        <w:kinsoku w:val="true"/>
        <w:overflowPunct w:val="true"/>
        <w:autoSpaceDE w:val="false"/>
        <w:bidi w:val="0"/>
        <w:snapToGrid w:val="true"/>
        <w:spacing w:lineRule="exact" w:line="590"/>
        <w:ind w:firstLineChars="200" w:startChars="0" w:start="0" w:endChars="0" w:end="0"/>
        <w:rPr>
          <w:rFonts w:ascii="Times New Roman" w:hAnsi="Times New Roman" w:eastAsia="仿宋_GB2312;仿宋" w:cs="Times New Roman" w:hint="eastAsia"/>
          <w:color w:val="000000"/>
          <w:sz w:val="32"/>
          <w:szCs w:val="32"/>
        </w:rPr>
      </w:pPr>
      <w:r>
        <w:rPr>
          <w:rFonts w:ascii="Times New Roman" w:hAnsi="Times New Roman" w:cs="Times New Roman" w:eastAsia="黑体"/>
          <w:color w:val="000000"/>
          <w:sz w:val="32"/>
          <w:szCs w:val="32"/>
        </w:rPr>
        <w:t>第十三条　</w:t>
      </w:r>
      <w:r>
        <w:rPr>
          <w:rFonts w:ascii="Times New Roman" w:hAnsi="Times New Roman" w:cs="Times New Roman" w:hint="eastAsia" w:eastAsia="仿宋_GB2312;仿宋"/>
          <w:color w:val="000000"/>
          <w:sz w:val="32"/>
          <w:szCs w:val="32"/>
        </w:rPr>
        <w:t>市人民政府和流域内县（市、区）人民政府国土资源、水利、林业行政主管部门应当根据各自职责合理调整土地用途，优化土地资源利用结构，增加林地、湿地、水域面积，对</w:t>
      </w:r>
      <w:r>
        <w:rPr>
          <w:rFonts w:eastAsia="仿宋_GB2312;仿宋" w:cs="Times New Roman" w:hint="eastAsia" w:ascii="Times New Roman" w:hAnsi="Times New Roman"/>
          <w:color w:val="000000"/>
          <w:sz w:val="32"/>
          <w:szCs w:val="32"/>
        </w:rPr>
        <w:t>25</w:t>
      </w:r>
      <w:r>
        <w:rPr>
          <w:rFonts w:ascii="Times New Roman" w:hAnsi="Times New Roman" w:cs="Times New Roman" w:hint="eastAsia" w:eastAsia="仿宋_GB2312;仿宋"/>
          <w:color w:val="000000"/>
          <w:sz w:val="32"/>
          <w:szCs w:val="32"/>
        </w:rPr>
        <w:t>度以上坡耕地实行退耕还林还草，将占用的河滩地、古水域恢复为湿地。</w:t>
      </w:r>
    </w:p>
    <w:p>
      <w:pPr>
        <w:pStyle w:val="Normal"/>
        <w:keepNext w:val="false"/>
        <w:keepLines w:val="false"/>
        <w:pageBreakBefore w:val="false"/>
        <w:widowControl w:val="false"/>
        <w:kinsoku w:val="true"/>
        <w:overflowPunct w:val="true"/>
        <w:autoSpaceDE w:val="false"/>
        <w:bidi w:val="0"/>
        <w:snapToGrid w:val="true"/>
        <w:spacing w:lineRule="exact" w:line="590"/>
        <w:ind w:firstLineChars="200" w:startChars="0" w:start="0" w:endChars="0" w:end="0"/>
        <w:rPr>
          <w:rFonts w:ascii="Times New Roman" w:hAnsi="Times New Roman" w:eastAsia="仿宋_GB2312;仿宋" w:cs="Times New Roman" w:hint="eastAsia"/>
          <w:color w:val="000000"/>
          <w:sz w:val="32"/>
          <w:szCs w:val="32"/>
        </w:rPr>
      </w:pPr>
      <w:r>
        <w:rPr>
          <w:rFonts w:ascii="Times New Roman" w:hAnsi="Times New Roman" w:cs="Times New Roman" w:hint="eastAsia" w:eastAsia="仿宋_GB2312;仿宋"/>
          <w:color w:val="000000"/>
          <w:sz w:val="32"/>
          <w:szCs w:val="32"/>
        </w:rPr>
        <w:t>市人民政府和流域内县（市、区）人民政府林业和水行政主管部门应当加强对涑水河流域内盐池、伍姓湖、硝池滩（西源湖水库）、北门滩、鸭子池、汤里滩等天然湖泊和流域水库水域湿地的恢复治理。</w:t>
      </w:r>
    </w:p>
    <w:p>
      <w:pPr>
        <w:pStyle w:val="Normal"/>
        <w:keepNext w:val="false"/>
        <w:keepLines w:val="false"/>
        <w:pageBreakBefore w:val="false"/>
        <w:widowControl w:val="false"/>
        <w:kinsoku w:val="true"/>
        <w:overflowPunct w:val="true"/>
        <w:autoSpaceDE w:val="false"/>
        <w:bidi w:val="0"/>
        <w:snapToGrid w:val="true"/>
        <w:spacing w:lineRule="exact" w:line="590"/>
        <w:ind w:firstLineChars="200" w:startChars="0" w:start="0" w:endChars="0" w:end="0"/>
        <w:rPr>
          <w:rFonts w:ascii="Times New Roman" w:hAnsi="Times New Roman" w:eastAsia="仿宋_GB2312;仿宋" w:cs="Times New Roman" w:hint="eastAsia"/>
          <w:color w:val="000000"/>
          <w:sz w:val="32"/>
          <w:szCs w:val="32"/>
        </w:rPr>
      </w:pPr>
      <w:r>
        <w:rPr>
          <w:rFonts w:ascii="Times New Roman" w:hAnsi="Times New Roman" w:cs="Times New Roman" w:eastAsia="黑体"/>
          <w:color w:val="000000"/>
          <w:sz w:val="32"/>
          <w:szCs w:val="32"/>
        </w:rPr>
        <w:t>第</w:t>
      </w:r>
      <w:r>
        <w:rPr>
          <w:rFonts w:ascii="黑体" w:hAnsi="黑体" w:cs="黑体" w:hint="eastAsia" w:eastAsia="黑体"/>
          <w:color w:val="000000"/>
          <w:sz w:val="32"/>
          <w:szCs w:val="32"/>
        </w:rPr>
        <w:t>十四条</w:t>
      </w:r>
      <w:r>
        <w:rPr>
          <w:rFonts w:ascii="Times New Roman" w:hAnsi="Times New Roman" w:cs="Times New Roman" w:eastAsia="仿宋_GB2312;仿宋"/>
          <w:color w:val="000000"/>
          <w:sz w:val="32"/>
          <w:szCs w:val="32"/>
        </w:rPr>
        <w:t>　</w:t>
      </w:r>
      <w:r>
        <w:rPr>
          <w:rFonts w:ascii="Times New Roman" w:hAnsi="Times New Roman" w:cs="Times New Roman" w:hint="eastAsia" w:eastAsia="仿宋_GB2312;仿宋"/>
          <w:color w:val="000000"/>
          <w:sz w:val="32"/>
          <w:szCs w:val="32"/>
        </w:rPr>
        <w:t>涑水河流域内严格限制地下水开采，实行水量、水位双控管理。</w:t>
      </w:r>
    </w:p>
    <w:p>
      <w:pPr>
        <w:pStyle w:val="Normal"/>
        <w:keepNext w:val="false"/>
        <w:keepLines w:val="false"/>
        <w:pageBreakBefore w:val="false"/>
        <w:widowControl w:val="false"/>
        <w:kinsoku w:val="true"/>
        <w:overflowPunct w:val="true"/>
        <w:autoSpaceDE w:val="false"/>
        <w:bidi w:val="0"/>
        <w:snapToGrid w:val="true"/>
        <w:spacing w:lineRule="exact" w:line="590"/>
        <w:ind w:firstLineChars="200" w:startChars="0" w:start="0" w:endChars="0" w:end="0"/>
        <w:rPr>
          <w:rFonts w:ascii="Times New Roman" w:hAnsi="Times New Roman" w:eastAsia="仿宋_GB2312;仿宋" w:cs="Times New Roman" w:hint="eastAsia"/>
          <w:color w:val="000000"/>
          <w:sz w:val="32"/>
          <w:szCs w:val="32"/>
        </w:rPr>
      </w:pPr>
      <w:r>
        <w:rPr>
          <w:rFonts w:ascii="Times New Roman" w:hAnsi="Times New Roman" w:cs="Times New Roman" w:hint="eastAsia" w:eastAsia="仿宋_GB2312;仿宋"/>
          <w:color w:val="000000"/>
          <w:sz w:val="32"/>
          <w:szCs w:val="32"/>
        </w:rPr>
        <w:t>在地下水禁采区和限采区，不得开凿新井。已建成的水井应当依法限期封闭。流域内县（市、区）人民政府水行政主管部门应当提供可靠替代水源。</w:t>
      </w:r>
    </w:p>
    <w:p>
      <w:pPr>
        <w:pStyle w:val="Normal"/>
        <w:keepNext w:val="false"/>
        <w:keepLines w:val="false"/>
        <w:pageBreakBefore w:val="false"/>
        <w:widowControl w:val="false"/>
        <w:kinsoku w:val="true"/>
        <w:overflowPunct w:val="true"/>
        <w:autoSpaceDE w:val="false"/>
        <w:bidi w:val="0"/>
        <w:snapToGrid w:val="true"/>
        <w:spacing w:lineRule="exact" w:line="590"/>
        <w:ind w:firstLineChars="200" w:startChars="0" w:start="0" w:endChars="0" w:end="0"/>
        <w:rPr>
          <w:rFonts w:ascii="Times New Roman" w:hAnsi="Times New Roman" w:eastAsia="仿宋_GB2312;仿宋" w:cs="Times New Roman" w:hint="eastAsia"/>
          <w:color w:val="000000"/>
          <w:sz w:val="32"/>
          <w:szCs w:val="32"/>
        </w:rPr>
      </w:pPr>
      <w:r>
        <w:rPr>
          <w:rFonts w:ascii="Times New Roman" w:hAnsi="Times New Roman" w:cs="Times New Roman" w:hint="eastAsia" w:eastAsia="仿宋_GB2312;仿宋"/>
          <w:color w:val="000000"/>
          <w:sz w:val="32"/>
          <w:szCs w:val="32"/>
        </w:rPr>
        <w:t>流域内县（市、区）人民政府水行政主管部门在地表水供水工程覆盖区域，应当制定水源置换和地下水关井压采分阶段实施方案，报本级人民政府批准后实施。</w:t>
      </w:r>
    </w:p>
    <w:p>
      <w:pPr>
        <w:pStyle w:val="Normal"/>
        <w:keepNext w:val="false"/>
        <w:keepLines w:val="false"/>
        <w:pageBreakBefore w:val="false"/>
        <w:widowControl w:val="false"/>
        <w:kinsoku w:val="true"/>
        <w:overflowPunct w:val="true"/>
        <w:bidi w:val="0"/>
        <w:snapToGrid w:val="true"/>
        <w:spacing w:lineRule="exact" w:line="590"/>
        <w:ind w:firstLineChars="0" w:firstLine="0" w:startChars="0" w:start="0" w:endChars="0" w:end="0"/>
        <w:rPr>
          <w:rFonts w:ascii="Times New Roman" w:hAnsi="Times New Roman" w:eastAsia="仿宋_GB2312;仿宋" w:cs="Times New Roman" w:hint="eastAsia"/>
          <w:color w:val="000000"/>
          <w:sz w:val="32"/>
          <w:szCs w:val="32"/>
        </w:rPr>
      </w:pPr>
      <w:r>
        <w:rPr>
          <w:rFonts w:ascii="Times New Roman" w:hAnsi="Times New Roman" w:cs="Times New Roman" w:eastAsia="黑体"/>
          <w:color w:val="000000"/>
          <w:sz w:val="32"/>
          <w:szCs w:val="32"/>
        </w:rPr>
        <w:t>第十五条　</w:t>
      </w:r>
      <w:r>
        <w:rPr>
          <w:rFonts w:ascii="Times New Roman" w:hAnsi="Times New Roman" w:cs="Times New Roman" w:hint="eastAsia" w:eastAsia="仿宋_GB2312;仿宋"/>
          <w:color w:val="000000"/>
          <w:sz w:val="32"/>
          <w:szCs w:val="32"/>
        </w:rPr>
        <w:t>加强节约用水管理，以农业节水为重点，统筹工业、生活节水，严格控制用水增量，提高水资源利用效率，建设节水型社会。</w:t>
      </w:r>
    </w:p>
    <w:p>
      <w:pPr>
        <w:pStyle w:val="Normal"/>
        <w:keepNext w:val="false"/>
        <w:keepLines w:val="false"/>
        <w:pageBreakBefore w:val="false"/>
        <w:widowControl w:val="false"/>
        <w:kinsoku w:val="true"/>
        <w:overflowPunct w:val="true"/>
        <w:autoSpaceDE w:val="false"/>
        <w:bidi w:val="0"/>
        <w:snapToGrid w:val="true"/>
        <w:spacing w:lineRule="exact" w:line="590"/>
        <w:ind w:firstLineChars="0" w:firstLine="0" w:startChars="0" w:start="0" w:endChars="0" w:end="0"/>
        <w:rPr>
          <w:rFonts w:ascii="Times New Roman" w:hAnsi="Times New Roman" w:eastAsia="仿宋_GB2312;仿宋" w:cs="Times New Roman"/>
          <w:color w:val="000000"/>
          <w:sz w:val="32"/>
          <w:szCs w:val="32"/>
        </w:rPr>
      </w:pPr>
      <w:r>
        <w:rPr>
          <w:rFonts w:ascii="Times New Roman" w:hAnsi="Times New Roman" w:cs="Times New Roman" w:eastAsia="黑体"/>
          <w:color w:val="000000"/>
          <w:sz w:val="32"/>
          <w:szCs w:val="32"/>
        </w:rPr>
        <w:t>第十六条</w:t>
      </w:r>
      <w:r>
        <w:rPr>
          <w:rFonts w:ascii="宋体" w:hAnsi="宋体" w:cs="宋体" w:hint="eastAsia"/>
          <w:color w:val="000000"/>
          <w:sz w:val="32"/>
          <w:szCs w:val="32"/>
        </w:rPr>
        <w:t>　</w:t>
      </w:r>
      <w:r>
        <w:rPr>
          <w:rFonts w:ascii="Times New Roman" w:hAnsi="Times New Roman" w:cs="Times New Roman" w:hint="eastAsia" w:eastAsia="仿宋_GB2312;仿宋"/>
          <w:color w:val="000000"/>
          <w:sz w:val="32"/>
          <w:szCs w:val="32"/>
        </w:rPr>
        <w:t>市人民政府和流域内县（市、区）人民政府林业行政主管部门应当采取科学造林、退耕还林、封山育林等措施，提高植被覆盖率，对涑水河及其主要支流源头进行保护。</w:t>
      </w:r>
    </w:p>
    <w:p>
      <w:pPr>
        <w:pStyle w:val="Normal"/>
        <w:keepNext w:val="false"/>
        <w:keepLines w:val="false"/>
        <w:pageBreakBefore w:val="false"/>
        <w:widowControl w:val="false"/>
        <w:kinsoku w:val="true"/>
        <w:overflowPunct w:val="true"/>
        <w:autoSpaceDE w:val="false"/>
        <w:bidi w:val="0"/>
        <w:snapToGrid w:val="true"/>
        <w:spacing w:lineRule="exact" w:line="590"/>
        <w:ind w:firstLineChars="0" w:firstLine="0" w:startChars="0" w:start="0" w:endChars="0" w:end="0"/>
        <w:rPr>
          <w:rFonts w:ascii="Times New Roman" w:hAnsi="Times New Roman" w:eastAsia="仿宋_GB2312;仿宋" w:cs="Times New Roman" w:hint="eastAsia"/>
          <w:color w:val="000000"/>
          <w:sz w:val="32"/>
          <w:szCs w:val="32"/>
        </w:rPr>
      </w:pPr>
      <w:r>
        <w:rPr>
          <w:rFonts w:ascii="Times New Roman" w:hAnsi="Times New Roman" w:cs="Times New Roman" w:eastAsia="黑体"/>
          <w:color w:val="000000"/>
          <w:sz w:val="32"/>
          <w:szCs w:val="32"/>
        </w:rPr>
        <w:t>第十七条</w:t>
      </w:r>
      <w:r>
        <w:rPr>
          <w:rFonts w:ascii="Times New Roman" w:hAnsi="Times New Roman" w:cs="Times New Roman" w:eastAsia="仿宋_GB2312;仿宋"/>
          <w:color w:val="000000"/>
          <w:sz w:val="32"/>
          <w:szCs w:val="32"/>
        </w:rPr>
        <w:t>　</w:t>
      </w:r>
      <w:r>
        <w:rPr>
          <w:rFonts w:ascii="Times New Roman" w:hAnsi="Times New Roman" w:cs="Times New Roman" w:hint="eastAsia" w:eastAsia="仿宋_GB2312;仿宋"/>
          <w:color w:val="000000"/>
          <w:sz w:val="32"/>
          <w:szCs w:val="32"/>
        </w:rPr>
        <w:t>市人民政府和流域内县（市、区）人民政府应当优先支持城镇、农村生活污水处理项目。</w:t>
      </w:r>
    </w:p>
    <w:p>
      <w:pPr>
        <w:pStyle w:val="Normal"/>
        <w:keepNext w:val="false"/>
        <w:keepLines w:val="false"/>
        <w:pageBreakBefore w:val="false"/>
        <w:widowControl w:val="false"/>
        <w:kinsoku w:val="true"/>
        <w:overflowPunct w:val="true"/>
        <w:autoSpaceDE w:val="false"/>
        <w:bidi w:val="0"/>
        <w:snapToGrid w:val="true"/>
        <w:spacing w:lineRule="exact" w:line="590"/>
        <w:ind w:firstLineChars="0" w:firstLine="0" w:startChars="0" w:start="0" w:endChars="0" w:end="0"/>
        <w:rPr>
          <w:rFonts w:ascii="Times New Roman" w:hAnsi="Times New Roman" w:eastAsia="仿宋_GB2312;仿宋" w:cs="Times New Roman" w:hint="eastAsia"/>
          <w:color w:val="000000"/>
          <w:sz w:val="32"/>
          <w:szCs w:val="32"/>
        </w:rPr>
      </w:pPr>
      <w:r>
        <w:rPr>
          <w:rFonts w:ascii="Times New Roman" w:hAnsi="Times New Roman" w:cs="Times New Roman" w:hint="eastAsia" w:eastAsia="仿宋_GB2312;仿宋"/>
          <w:color w:val="000000"/>
          <w:sz w:val="32"/>
          <w:szCs w:val="32"/>
        </w:rPr>
        <w:t>市人民政府和流域内县（市、区）人民政府住房和城乡建设行政主管部门应当建立完善城镇生活污水处理及供排水公共设施，实现达标排放。对农村生产、生活污水，应当采取无害化处理，不得直接进入河道。</w:t>
      </w:r>
    </w:p>
    <w:p>
      <w:pPr>
        <w:pStyle w:val="Normal"/>
        <w:keepNext w:val="false"/>
        <w:keepLines w:val="false"/>
        <w:pageBreakBefore w:val="false"/>
        <w:widowControl w:val="false"/>
        <w:kinsoku w:val="true"/>
        <w:overflowPunct w:val="true"/>
        <w:autoSpaceDE w:val="false"/>
        <w:bidi w:val="0"/>
        <w:snapToGrid w:val="true"/>
        <w:spacing w:lineRule="exact" w:line="590"/>
        <w:ind w:firstLineChars="0" w:firstLine="0" w:startChars="0" w:start="0" w:endChars="0" w:end="0"/>
        <w:rPr>
          <w:rFonts w:ascii="Times New Roman" w:hAnsi="Times New Roman" w:eastAsia="仿宋_GB2312;仿宋" w:cs="Times New Roman" w:hint="eastAsia"/>
          <w:color w:val="000000"/>
          <w:sz w:val="32"/>
          <w:szCs w:val="32"/>
        </w:rPr>
      </w:pPr>
      <w:r>
        <w:rPr>
          <w:rFonts w:ascii="Times New Roman" w:hAnsi="Times New Roman" w:cs="Times New Roman" w:hint="eastAsia" w:eastAsia="仿宋_GB2312;仿宋"/>
          <w:color w:val="000000"/>
          <w:sz w:val="32"/>
          <w:szCs w:val="32"/>
        </w:rPr>
        <w:t>市人民政府和流域内县（市、区）人民政府环境保护行政主管部门应当指导监督流域内生产企业建立完善工业生产污水处理设施，实现达标排放。</w:t>
      </w:r>
    </w:p>
    <w:p>
      <w:pPr>
        <w:pStyle w:val="Normal"/>
        <w:keepNext w:val="false"/>
        <w:keepLines w:val="false"/>
        <w:pageBreakBefore w:val="false"/>
        <w:widowControl w:val="false"/>
        <w:kinsoku w:val="true"/>
        <w:overflowPunct w:val="true"/>
        <w:autoSpaceDE w:val="false"/>
        <w:bidi w:val="0"/>
        <w:snapToGrid w:val="true"/>
        <w:spacing w:lineRule="exact" w:line="590"/>
        <w:ind w:firstLineChars="0" w:firstLine="0" w:startChars="0" w:start="0" w:endChars="0" w:end="0"/>
        <w:rPr>
          <w:rFonts w:ascii="Times New Roman" w:hAnsi="Times New Roman" w:eastAsia="仿宋_GB2312;仿宋" w:cs="Times New Roman"/>
          <w:color w:val="000000"/>
          <w:sz w:val="32"/>
          <w:szCs w:val="32"/>
        </w:rPr>
      </w:pPr>
      <w:r>
        <w:rPr>
          <w:rFonts w:eastAsia="仿宋_GB2312;仿宋" w:cs="Times New Roman" w:ascii="Times New Roman" w:hAnsi="Times New Roman"/>
          <w:color w:val="000000"/>
          <w:sz w:val="32"/>
          <w:szCs w:val="32"/>
        </w:rPr>
      </w:r>
    </w:p>
    <w:p>
      <w:pPr>
        <w:pStyle w:val="Normal"/>
        <w:keepNext w:val="false"/>
        <w:keepLines w:val="false"/>
        <w:pageBreakBefore w:val="false"/>
        <w:widowControl w:val="false"/>
        <w:kinsoku w:val="true"/>
        <w:overflowPunct w:val="true"/>
        <w:autoSpaceDE w:val="false"/>
        <w:bidi w:val="0"/>
        <w:snapToGrid w:val="true"/>
        <w:spacing w:lineRule="exact" w:line="590"/>
        <w:ind w:firstLineChars="0" w:firstLine="0" w:startChars="0" w:start="0" w:endChars="0" w:end="0"/>
        <w:jc w:val="center"/>
        <w:rPr>
          <w:rFonts w:ascii="Times New Roman" w:hAnsi="Times New Roman" w:eastAsia="黑体" w:cs="Times New Roman"/>
          <w:color w:val="000000"/>
          <w:sz w:val="32"/>
          <w:szCs w:val="32"/>
        </w:rPr>
      </w:pPr>
      <w:r>
        <w:rPr>
          <w:rFonts w:ascii="Times New Roman" w:hAnsi="Times New Roman" w:cs="Times New Roman" w:eastAsia="黑体"/>
          <w:color w:val="000000"/>
          <w:sz w:val="32"/>
          <w:szCs w:val="32"/>
        </w:rPr>
        <w:t>第三章　生态保护</w:t>
      </w:r>
    </w:p>
    <w:p>
      <w:pPr>
        <w:pStyle w:val="Normal"/>
        <w:keepNext w:val="false"/>
        <w:keepLines w:val="false"/>
        <w:pageBreakBefore w:val="false"/>
        <w:widowControl w:val="false"/>
        <w:kinsoku w:val="true"/>
        <w:overflowPunct w:val="true"/>
        <w:autoSpaceDE w:val="false"/>
        <w:bidi w:val="0"/>
        <w:snapToGrid w:val="true"/>
        <w:spacing w:lineRule="exact" w:line="590"/>
        <w:ind w:firstLineChars="0" w:firstLine="0" w:startChars="0" w:start="0" w:endChars="0" w:end="0"/>
        <w:jc w:val="center"/>
        <w:rPr>
          <w:rFonts w:ascii="Times New Roman" w:hAnsi="Times New Roman" w:eastAsia="黑体" w:cs="Times New Roman"/>
          <w:color w:val="000000"/>
          <w:sz w:val="32"/>
          <w:szCs w:val="32"/>
        </w:rPr>
      </w:pPr>
      <w:r>
        <w:rPr>
          <w:rFonts w:eastAsia="黑体" w:cs="Times New Roman" w:ascii="Times New Roman" w:hAnsi="Times New Roman"/>
          <w:color w:val="000000"/>
          <w:sz w:val="32"/>
          <w:szCs w:val="32"/>
        </w:rPr>
      </w:r>
    </w:p>
    <w:p>
      <w:pPr>
        <w:pStyle w:val="Normal"/>
        <w:keepNext w:val="false"/>
        <w:keepLines w:val="false"/>
        <w:pageBreakBefore w:val="false"/>
        <w:widowControl w:val="false"/>
        <w:kinsoku w:val="true"/>
        <w:overflowPunct w:val="true"/>
        <w:autoSpaceDE w:val="false"/>
        <w:bidi w:val="0"/>
        <w:snapToGrid w:val="true"/>
        <w:spacing w:lineRule="exact" w:line="590"/>
        <w:ind w:firstLineChars="0" w:firstLine="0" w:startChars="0" w:start="0" w:endChars="0" w:end="0"/>
        <w:rPr>
          <w:rFonts w:ascii="Times New Roman" w:hAnsi="Times New Roman" w:eastAsia="仿宋_GB2312;仿宋" w:cs="Times New Roman" w:hint="eastAsia"/>
          <w:color w:val="000000"/>
          <w:sz w:val="32"/>
          <w:szCs w:val="32"/>
        </w:rPr>
      </w:pPr>
      <w:r>
        <w:rPr>
          <w:rFonts w:ascii="Times New Roman" w:hAnsi="Times New Roman" w:cs="Times New Roman" w:eastAsia="黑体"/>
          <w:color w:val="000000"/>
          <w:sz w:val="32"/>
          <w:szCs w:val="32"/>
        </w:rPr>
        <w:t>第十八条　</w:t>
      </w:r>
      <w:r>
        <w:rPr>
          <w:rFonts w:ascii="Times New Roman" w:hAnsi="Times New Roman" w:cs="Times New Roman" w:hint="eastAsia" w:eastAsia="仿宋_GB2312;仿宋"/>
          <w:color w:val="000000"/>
          <w:sz w:val="32"/>
          <w:szCs w:val="32"/>
        </w:rPr>
        <w:t>市人民政府应当依法划定涑水河、姚暹渠河道管理和保护范围。</w:t>
      </w:r>
    </w:p>
    <w:p>
      <w:pPr>
        <w:pStyle w:val="Normal"/>
        <w:keepNext w:val="false"/>
        <w:keepLines w:val="false"/>
        <w:pageBreakBefore w:val="false"/>
        <w:widowControl w:val="false"/>
        <w:kinsoku w:val="true"/>
        <w:overflowPunct w:val="true"/>
        <w:autoSpaceDE w:val="false"/>
        <w:bidi w:val="0"/>
        <w:snapToGrid w:val="true"/>
        <w:spacing w:lineRule="exact" w:line="590"/>
        <w:ind w:firstLineChars="0" w:firstLine="0" w:startChars="0" w:start="0" w:endChars="0" w:end="0"/>
        <w:rPr>
          <w:rFonts w:ascii="Times New Roman" w:hAnsi="Times New Roman" w:eastAsia="仿宋_GB2312;仿宋" w:cs="Times New Roman" w:hint="eastAsia"/>
          <w:color w:val="000000"/>
          <w:sz w:val="32"/>
          <w:szCs w:val="32"/>
        </w:rPr>
      </w:pPr>
      <w:r>
        <w:rPr>
          <w:rFonts w:ascii="Times New Roman" w:hAnsi="Times New Roman" w:cs="Times New Roman" w:hint="eastAsia" w:eastAsia="仿宋_GB2312;仿宋"/>
          <w:color w:val="000000"/>
          <w:sz w:val="32"/>
          <w:szCs w:val="32"/>
        </w:rPr>
        <w:t xml:space="preserve">流域内县（市、区）人民政府应当依法划定涑水河流域其他河道、湖泊、水库、调水工程的管理和保护范围。 </w:t>
      </w:r>
    </w:p>
    <w:p>
      <w:pPr>
        <w:pStyle w:val="Normal"/>
        <w:keepNext w:val="false"/>
        <w:keepLines w:val="false"/>
        <w:pageBreakBefore w:val="false"/>
        <w:widowControl w:val="false"/>
        <w:kinsoku w:val="true"/>
        <w:overflowPunct w:val="true"/>
        <w:autoSpaceDE w:val="false"/>
        <w:bidi w:val="0"/>
        <w:snapToGrid w:val="true"/>
        <w:spacing w:lineRule="exact" w:line="590"/>
        <w:ind w:firstLineChars="0" w:firstLine="0" w:startChars="0" w:start="0" w:endChars="0" w:end="0"/>
        <w:rPr>
          <w:rFonts w:ascii="Times New Roman" w:hAnsi="Times New Roman" w:eastAsia="仿宋_GB2312;仿宋" w:cs="Times New Roman" w:hint="eastAsia"/>
          <w:color w:val="000000"/>
          <w:sz w:val="32"/>
          <w:szCs w:val="32"/>
        </w:rPr>
      </w:pPr>
      <w:r>
        <w:rPr>
          <w:rFonts w:ascii="Times New Roman" w:hAnsi="Times New Roman" w:cs="Times New Roman" w:eastAsia="黑体"/>
          <w:color w:val="000000"/>
          <w:sz w:val="32"/>
          <w:szCs w:val="32"/>
        </w:rPr>
        <w:t>第十九条</w:t>
      </w:r>
      <w:r>
        <w:rPr>
          <w:rFonts w:ascii="Times New Roman" w:hAnsi="Times New Roman" w:cs="Times New Roman" w:eastAsia="仿宋_GB2312;仿宋"/>
          <w:color w:val="000000"/>
          <w:sz w:val="32"/>
          <w:szCs w:val="32"/>
        </w:rPr>
        <w:t xml:space="preserve">  </w:t>
      </w:r>
      <w:r>
        <w:rPr>
          <w:rFonts w:ascii="Times New Roman" w:hAnsi="Times New Roman" w:cs="Times New Roman" w:hint="eastAsia" w:eastAsia="仿宋_GB2312;仿宋"/>
          <w:color w:val="000000"/>
          <w:sz w:val="32"/>
          <w:szCs w:val="32"/>
        </w:rPr>
        <w:t>在涑水河流域内的河道、水库和湖泊以及跨流域调水工程管理范围内，未经依法批准，不得新建、改建、扩建建筑物。</w:t>
      </w:r>
    </w:p>
    <w:p>
      <w:pPr>
        <w:pStyle w:val="Normal"/>
        <w:keepNext w:val="false"/>
        <w:keepLines w:val="false"/>
        <w:pageBreakBefore w:val="false"/>
        <w:widowControl w:val="false"/>
        <w:kinsoku w:val="true"/>
        <w:overflowPunct w:val="true"/>
        <w:autoSpaceDE w:val="false"/>
        <w:bidi w:val="0"/>
        <w:snapToGrid w:val="true"/>
        <w:spacing w:lineRule="exact" w:line="590"/>
        <w:ind w:firstLineChars="0" w:firstLine="0" w:startChars="0" w:start="0" w:endChars="0" w:end="0"/>
        <w:rPr>
          <w:rFonts w:ascii="Times New Roman" w:hAnsi="Times New Roman" w:eastAsia="仿宋_GB2312;仿宋" w:cs="Times New Roman" w:hint="eastAsia"/>
          <w:color w:val="000000"/>
          <w:sz w:val="32"/>
          <w:szCs w:val="32"/>
        </w:rPr>
      </w:pPr>
      <w:r>
        <w:rPr>
          <w:rFonts w:ascii="Times New Roman" w:hAnsi="Times New Roman" w:cs="Times New Roman" w:hint="eastAsia" w:eastAsia="仿宋_GB2312;仿宋"/>
          <w:color w:val="000000"/>
          <w:sz w:val="32"/>
          <w:szCs w:val="32"/>
        </w:rPr>
        <w:t>禁止围垦河道或者擅自占用、开发河道滩地。已经围垦或者占用、开发河道滩地的，应当按照国家规定的防洪标准进行治理，逐步退地还河。</w:t>
      </w:r>
    </w:p>
    <w:p>
      <w:pPr>
        <w:pStyle w:val="Normal"/>
        <w:keepNext w:val="false"/>
        <w:keepLines w:val="false"/>
        <w:pageBreakBefore w:val="false"/>
        <w:widowControl w:val="false"/>
        <w:kinsoku w:val="true"/>
        <w:overflowPunct w:val="true"/>
        <w:autoSpaceDE w:val="false"/>
        <w:bidi w:val="0"/>
        <w:snapToGrid w:val="true"/>
        <w:spacing w:lineRule="exact" w:line="590"/>
        <w:ind w:firstLineChars="0" w:firstLine="0" w:startChars="0" w:start="0" w:endChars="0" w:end="0"/>
        <w:rPr>
          <w:rFonts w:ascii="Times New Roman" w:hAnsi="Times New Roman" w:eastAsia="仿宋_GB2312;仿宋" w:cs="Times New Roman" w:hint="eastAsia"/>
          <w:color w:val="000000"/>
          <w:sz w:val="32"/>
          <w:szCs w:val="32"/>
        </w:rPr>
      </w:pPr>
      <w:r>
        <w:rPr>
          <w:rFonts w:ascii="Times New Roman" w:hAnsi="Times New Roman" w:cs="Times New Roman" w:eastAsia="黑体"/>
          <w:color w:val="000000"/>
          <w:sz w:val="32"/>
          <w:szCs w:val="32"/>
        </w:rPr>
        <w:t>第二十条　</w:t>
      </w:r>
      <w:r>
        <w:rPr>
          <w:rFonts w:ascii="Times New Roman" w:hAnsi="Times New Roman" w:cs="Times New Roman" w:hint="eastAsia" w:eastAsia="仿宋_GB2312;仿宋"/>
          <w:color w:val="000000"/>
          <w:sz w:val="32"/>
          <w:szCs w:val="32"/>
        </w:rPr>
        <w:t>禁止占用或者征收、征用涑水河流域内的一级保护林地；禁止随意变更水源涵养林业用途。</w:t>
      </w:r>
    </w:p>
    <w:p>
      <w:pPr>
        <w:pStyle w:val="Normal"/>
        <w:keepNext w:val="false"/>
        <w:keepLines w:val="false"/>
        <w:pageBreakBefore w:val="false"/>
        <w:widowControl w:val="false"/>
        <w:kinsoku w:val="true"/>
        <w:overflowPunct w:val="true"/>
        <w:autoSpaceDE w:val="false"/>
        <w:bidi w:val="0"/>
        <w:snapToGrid w:val="true"/>
        <w:spacing w:lineRule="exact" w:line="590"/>
        <w:ind w:firstLineChars="0" w:firstLine="0" w:startChars="0" w:start="0" w:endChars="0" w:end="0"/>
        <w:rPr>
          <w:rFonts w:ascii="Times New Roman" w:hAnsi="Times New Roman" w:eastAsia="仿宋_GB2312;仿宋" w:cs="Times New Roman" w:hint="eastAsia"/>
          <w:color w:val="000000"/>
          <w:sz w:val="32"/>
          <w:szCs w:val="32"/>
        </w:rPr>
      </w:pPr>
      <w:r>
        <w:rPr>
          <w:rFonts w:ascii="Times New Roman" w:hAnsi="Times New Roman" w:cs="Times New Roman" w:hint="eastAsia" w:eastAsia="仿宋_GB2312;仿宋"/>
          <w:color w:val="000000"/>
          <w:sz w:val="32"/>
          <w:szCs w:val="32"/>
        </w:rPr>
        <w:t>禁止围垦、填埋涑水河流域内湿地或者擅自排放涑水河流域内湿地水资源、堵截湿地水系与外围水系。</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rPr>
          <w:rFonts w:ascii="Times New Roman" w:hAnsi="Times New Roman" w:eastAsia="仿宋_GB2312;仿宋" w:cs="Times New Roman" w:hint="eastAsia"/>
          <w:color w:val="000000"/>
          <w:sz w:val="32"/>
          <w:szCs w:val="32"/>
        </w:rPr>
      </w:pPr>
      <w:r>
        <w:rPr>
          <w:rFonts w:ascii="Times New Roman" w:hAnsi="Times New Roman" w:cs="Times New Roman" w:eastAsia="黑体"/>
          <w:color w:val="000000"/>
          <w:sz w:val="32"/>
          <w:szCs w:val="32"/>
        </w:rPr>
        <w:t>第二十一条　</w:t>
      </w:r>
      <w:r>
        <w:rPr>
          <w:rFonts w:ascii="Times New Roman" w:hAnsi="Times New Roman" w:cs="Times New Roman" w:hint="eastAsia" w:eastAsia="仿宋_GB2312;仿宋"/>
          <w:color w:val="000000"/>
          <w:sz w:val="32"/>
          <w:szCs w:val="32"/>
        </w:rPr>
        <w:t>市人民政府和流域内县（市、区）人民政府水行政主管部门开发、利用和调节、调度水资源时，应当统筹兼顾，维持河道的合理流量和湖泊、水库以及地下水体的合理水位，保障基本生态用水。</w:t>
      </w:r>
    </w:p>
    <w:p>
      <w:pPr>
        <w:pStyle w:val="Normal"/>
        <w:keepNext w:val="false"/>
        <w:keepLines w:val="false"/>
        <w:pageBreakBefore w:val="false"/>
        <w:widowControl w:val="false"/>
        <w:kinsoku w:val="true"/>
        <w:overflowPunct w:val="true"/>
        <w:autoSpaceDE w:val="false"/>
        <w:bidi w:val="0"/>
        <w:snapToGrid w:val="true"/>
        <w:spacing w:lineRule="exact" w:line="590"/>
        <w:ind w:firstLineChars="200" w:startChars="0" w:start="0" w:endChars="0" w:end="0"/>
        <w:rPr>
          <w:rFonts w:ascii="Times New Roman" w:hAnsi="Times New Roman" w:eastAsia="仿宋_GB2312;仿宋" w:cs="Times New Roman" w:hint="eastAsia"/>
          <w:color w:val="000000"/>
          <w:sz w:val="32"/>
          <w:szCs w:val="32"/>
        </w:rPr>
      </w:pPr>
      <w:r>
        <w:rPr>
          <w:rFonts w:ascii="Times New Roman" w:hAnsi="Times New Roman" w:cs="Times New Roman" w:eastAsia="黑体"/>
          <w:color w:val="000000"/>
          <w:sz w:val="32"/>
          <w:szCs w:val="32"/>
        </w:rPr>
        <w:t>第二十二条　</w:t>
      </w:r>
      <w:r>
        <w:rPr>
          <w:rFonts w:ascii="Times New Roman" w:hAnsi="Times New Roman" w:cs="Times New Roman" w:hint="eastAsia" w:eastAsia="仿宋_GB2312;仿宋"/>
          <w:color w:val="000000"/>
          <w:sz w:val="32"/>
          <w:szCs w:val="32"/>
        </w:rPr>
        <w:t>在涑水河流域内建设可能造成水土流失的项目，建设单位应当依法编制水土保持方案，并按照批准的水土保持方案采取水土流失预防和治理措施。</w:t>
      </w:r>
    </w:p>
    <w:p>
      <w:pPr>
        <w:pStyle w:val="Normal"/>
        <w:keepNext w:val="false"/>
        <w:keepLines w:val="false"/>
        <w:pageBreakBefore w:val="false"/>
        <w:widowControl w:val="false"/>
        <w:kinsoku w:val="true"/>
        <w:overflowPunct w:val="true"/>
        <w:autoSpaceDE w:val="false"/>
        <w:bidi w:val="0"/>
        <w:snapToGrid w:val="true"/>
        <w:spacing w:lineRule="exact" w:line="590"/>
        <w:ind w:firstLineChars="200" w:startChars="0" w:start="0" w:endChars="0" w:end="0"/>
        <w:rPr>
          <w:rFonts w:ascii="Times New Roman" w:hAnsi="Times New Roman" w:eastAsia="仿宋_GB2312;仿宋" w:cs="Times New Roman" w:hint="eastAsia"/>
          <w:color w:val="000000"/>
          <w:sz w:val="32"/>
          <w:szCs w:val="32"/>
        </w:rPr>
      </w:pPr>
      <w:r>
        <w:rPr>
          <w:rFonts w:ascii="Times New Roman" w:hAnsi="Times New Roman" w:cs="Times New Roman" w:eastAsia="黑体"/>
          <w:color w:val="000000"/>
          <w:sz w:val="32"/>
          <w:szCs w:val="32"/>
        </w:rPr>
        <w:t>第二十三条　</w:t>
      </w:r>
      <w:r>
        <w:rPr>
          <w:rFonts w:ascii="Times New Roman" w:hAnsi="Times New Roman" w:cs="Times New Roman" w:hint="eastAsia" w:eastAsia="仿宋_GB2312;仿宋"/>
          <w:color w:val="000000"/>
          <w:sz w:val="32"/>
          <w:szCs w:val="32"/>
        </w:rPr>
        <w:t>在涑水河流域内的城乡基础设施和重点项目建设应当采取生态环境保护措施，不占或者少占林地、草地、湿地、水域，避免穿越各类生态保护区。</w:t>
      </w:r>
    </w:p>
    <w:p>
      <w:pPr>
        <w:pStyle w:val="Normal"/>
        <w:keepNext w:val="false"/>
        <w:keepLines w:val="false"/>
        <w:pageBreakBefore w:val="false"/>
        <w:widowControl w:val="false"/>
        <w:kinsoku w:val="true"/>
        <w:overflowPunct w:val="true"/>
        <w:autoSpaceDE w:val="false"/>
        <w:bidi w:val="0"/>
        <w:snapToGrid w:val="true"/>
        <w:spacing w:lineRule="exact" w:line="590"/>
        <w:ind w:firstLineChars="200" w:startChars="0" w:start="0" w:endChars="0" w:end="0"/>
        <w:rPr>
          <w:rFonts w:ascii="Times New Roman" w:hAnsi="Times New Roman" w:eastAsia="仿宋_GB2312;仿宋" w:cs="Times New Roman"/>
          <w:color w:val="000000"/>
          <w:sz w:val="32"/>
          <w:szCs w:val="32"/>
        </w:rPr>
      </w:pPr>
      <w:r>
        <w:rPr>
          <w:rFonts w:ascii="Times New Roman" w:hAnsi="Times New Roman" w:cs="Times New Roman" w:eastAsia="黑体"/>
          <w:color w:val="000000"/>
          <w:sz w:val="32"/>
          <w:szCs w:val="32"/>
        </w:rPr>
        <w:t>第二十四条　</w:t>
      </w:r>
      <w:r>
        <w:rPr>
          <w:rFonts w:ascii="Times New Roman" w:hAnsi="Times New Roman" w:cs="Times New Roman" w:hint="eastAsia" w:eastAsia="仿宋_GB2312;仿宋"/>
          <w:color w:val="000000"/>
          <w:sz w:val="32"/>
          <w:szCs w:val="32"/>
        </w:rPr>
        <w:t>涑水河流域内的旅游资源开发利用应当与当地生态环境保护相协调。</w:t>
      </w:r>
    </w:p>
    <w:p>
      <w:pPr>
        <w:pStyle w:val="Normal"/>
        <w:keepNext w:val="false"/>
        <w:keepLines w:val="false"/>
        <w:pageBreakBefore w:val="false"/>
        <w:widowControl w:val="false"/>
        <w:kinsoku w:val="true"/>
        <w:overflowPunct w:val="true"/>
        <w:autoSpaceDE w:val="false"/>
        <w:bidi w:val="0"/>
        <w:snapToGrid w:val="true"/>
        <w:spacing w:lineRule="exact" w:line="590"/>
        <w:ind w:firstLineChars="200" w:startChars="0" w:start="0" w:endChars="0" w:end="0"/>
        <w:rPr>
          <w:rFonts w:ascii="Times New Roman" w:hAnsi="Times New Roman" w:eastAsia="仿宋_GB2312;仿宋" w:cs="Times New Roman" w:hint="eastAsia"/>
          <w:color w:val="000000"/>
          <w:sz w:val="32"/>
          <w:szCs w:val="32"/>
        </w:rPr>
      </w:pPr>
      <w:r>
        <w:rPr>
          <w:rFonts w:ascii="Times New Roman" w:hAnsi="Times New Roman" w:cs="Times New Roman" w:eastAsia="黑体"/>
          <w:color w:val="000000"/>
          <w:sz w:val="32"/>
          <w:szCs w:val="32"/>
        </w:rPr>
        <w:t>第二十五条　</w:t>
      </w:r>
      <w:r>
        <w:rPr>
          <w:rFonts w:ascii="Times New Roman" w:hAnsi="Times New Roman" w:cs="Times New Roman" w:hint="eastAsia" w:eastAsia="仿宋_GB2312;仿宋"/>
          <w:color w:val="000000"/>
          <w:sz w:val="32"/>
          <w:szCs w:val="32"/>
        </w:rPr>
        <w:t>市人民政府和流域内县（市、区）人民政府应当按照权责统一、合理补偿，谁受益、谁补偿和谁损害、谁赔偿的原则，建立涑水河流域内的林地、草地、湿地、湖泊、水流、耕地等区域的生态保护补偿与生态环境损害赔偿机制。具体办法由市人民政府制定。</w:t>
      </w:r>
    </w:p>
    <w:p>
      <w:pPr>
        <w:pStyle w:val="Normal"/>
        <w:keepNext w:val="false"/>
        <w:keepLines w:val="false"/>
        <w:pageBreakBefore w:val="false"/>
        <w:widowControl w:val="false"/>
        <w:kinsoku w:val="true"/>
        <w:overflowPunct w:val="true"/>
        <w:autoSpaceDE w:val="false"/>
        <w:bidi w:val="0"/>
        <w:snapToGrid w:val="true"/>
        <w:spacing w:lineRule="exact" w:line="590"/>
        <w:ind w:firstLineChars="200" w:startChars="0" w:start="0" w:endChars="0" w:end="0"/>
        <w:rPr>
          <w:rFonts w:ascii="Times New Roman" w:hAnsi="Times New Roman" w:eastAsia="仿宋_GB2312;仿宋" w:cs="Times New Roman" w:hint="eastAsia"/>
          <w:color w:val="000000"/>
          <w:sz w:val="32"/>
          <w:szCs w:val="32"/>
        </w:rPr>
      </w:pPr>
      <w:r>
        <w:rPr>
          <w:rFonts w:ascii="Times New Roman" w:hAnsi="Times New Roman" w:cs="Times New Roman" w:eastAsia="黑体"/>
          <w:color w:val="000000"/>
          <w:sz w:val="32"/>
          <w:szCs w:val="32"/>
        </w:rPr>
        <w:t>第二十六条　</w:t>
      </w:r>
      <w:r>
        <w:rPr>
          <w:rFonts w:ascii="Times New Roman" w:hAnsi="Times New Roman" w:cs="Times New Roman" w:hint="eastAsia" w:eastAsia="仿宋_GB2312;仿宋"/>
          <w:color w:val="000000"/>
          <w:sz w:val="32"/>
          <w:szCs w:val="32"/>
        </w:rPr>
        <w:t>市人民政府和流域内县（市、区）人民政府环境保护行政主管部门应当根据国家和省下达的重点水污染物或者其他水污染物排放总量控制和排放浓度控制指标，实行水污染物排放总量和排放浓度双控制管理。</w:t>
      </w:r>
    </w:p>
    <w:p>
      <w:pPr>
        <w:pStyle w:val="Normal"/>
        <w:keepNext w:val="false"/>
        <w:keepLines w:val="false"/>
        <w:pageBreakBefore w:val="false"/>
        <w:widowControl w:val="false"/>
        <w:kinsoku w:val="true"/>
        <w:overflowPunct w:val="true"/>
        <w:autoSpaceDE w:val="false"/>
        <w:bidi w:val="0"/>
        <w:snapToGrid w:val="true"/>
        <w:spacing w:lineRule="exact" w:line="590"/>
        <w:ind w:firstLineChars="200" w:startChars="0" w:start="0" w:endChars="0" w:end="0"/>
        <w:rPr>
          <w:rFonts w:ascii="Times New Roman" w:hAnsi="Times New Roman" w:eastAsia="仿宋_GB2312;仿宋" w:cs="Times New Roman" w:hint="eastAsia"/>
          <w:color w:val="000000"/>
          <w:sz w:val="32"/>
          <w:szCs w:val="32"/>
        </w:rPr>
      </w:pPr>
      <w:r>
        <w:rPr>
          <w:rFonts w:ascii="Times New Roman" w:hAnsi="Times New Roman" w:cs="Times New Roman" w:eastAsia="黑体"/>
          <w:color w:val="000000"/>
          <w:sz w:val="32"/>
          <w:szCs w:val="32"/>
        </w:rPr>
        <w:t>第二十七条</w:t>
      </w:r>
      <w:r>
        <w:rPr>
          <w:rFonts w:ascii="Times New Roman" w:hAnsi="Times New Roman" w:cs="Times New Roman" w:eastAsia="仿宋_GB2312;仿宋"/>
          <w:color w:val="000000"/>
          <w:sz w:val="32"/>
          <w:szCs w:val="32"/>
        </w:rPr>
        <w:t xml:space="preserve">  </w:t>
      </w:r>
      <w:r>
        <w:rPr>
          <w:rFonts w:ascii="Times New Roman" w:hAnsi="Times New Roman" w:cs="Times New Roman" w:hint="eastAsia" w:eastAsia="仿宋_GB2312;仿宋"/>
          <w:color w:val="000000"/>
          <w:sz w:val="32"/>
          <w:szCs w:val="32"/>
        </w:rPr>
        <w:t>涑水河流域内排污企业不得超过水污染物排放标准或者超过重点水污染物排放总量控制指标排放水污染物。</w:t>
      </w:r>
    </w:p>
    <w:p>
      <w:pPr>
        <w:pStyle w:val="Normal"/>
        <w:keepNext w:val="false"/>
        <w:keepLines w:val="false"/>
        <w:pageBreakBefore w:val="false"/>
        <w:widowControl w:val="false"/>
        <w:kinsoku w:val="true"/>
        <w:overflowPunct w:val="true"/>
        <w:autoSpaceDE w:val="false"/>
        <w:bidi w:val="0"/>
        <w:snapToGrid w:val="true"/>
        <w:spacing w:lineRule="exact" w:line="590"/>
        <w:ind w:firstLineChars="200" w:startChars="0" w:start="0" w:endChars="0" w:end="0"/>
        <w:rPr>
          <w:rFonts w:ascii="Times New Roman" w:hAnsi="Times New Roman" w:eastAsia="仿宋_GB2312;仿宋" w:cs="Times New Roman" w:hint="eastAsia"/>
          <w:color w:val="000000"/>
          <w:sz w:val="32"/>
          <w:szCs w:val="32"/>
        </w:rPr>
      </w:pPr>
      <w:r>
        <w:rPr>
          <w:rFonts w:ascii="Times New Roman" w:hAnsi="Times New Roman" w:cs="Times New Roman" w:eastAsia="黑体"/>
          <w:color w:val="000000"/>
          <w:sz w:val="32"/>
          <w:szCs w:val="32"/>
        </w:rPr>
        <w:t>第二十八条　</w:t>
      </w:r>
      <w:r>
        <w:rPr>
          <w:rFonts w:ascii="Times New Roman" w:hAnsi="Times New Roman" w:cs="Times New Roman" w:hint="eastAsia" w:eastAsia="仿宋_GB2312;仿宋"/>
          <w:color w:val="000000"/>
          <w:sz w:val="32"/>
          <w:szCs w:val="32"/>
        </w:rPr>
        <w:t>市人民政府和流域内县（市、区）人民政府农业行政主管部门应当指导农业生产者科学、合理地施（使）用化肥、农药及农膜等农业投入品，实施农业废弃物回收及无害化处理，防止农业面源污染。</w:t>
      </w:r>
    </w:p>
    <w:p>
      <w:pPr>
        <w:pStyle w:val="Normal"/>
        <w:keepNext w:val="false"/>
        <w:keepLines w:val="false"/>
        <w:pageBreakBefore w:val="false"/>
        <w:widowControl w:val="false"/>
        <w:kinsoku w:val="true"/>
        <w:overflowPunct w:val="true"/>
        <w:autoSpaceDE w:val="false"/>
        <w:bidi w:val="0"/>
        <w:snapToGrid w:val="true"/>
        <w:spacing w:lineRule="exact" w:line="590"/>
        <w:ind w:firstLineChars="200" w:startChars="0" w:start="0" w:endChars="0" w:end="0"/>
        <w:rPr>
          <w:rFonts w:ascii="Times New Roman" w:hAnsi="Times New Roman" w:eastAsia="仿宋_GB2312;仿宋" w:cs="Times New Roman" w:hint="eastAsia"/>
          <w:color w:val="000000"/>
          <w:sz w:val="32"/>
          <w:szCs w:val="32"/>
        </w:rPr>
      </w:pPr>
      <w:r>
        <w:rPr>
          <w:rFonts w:ascii="Times New Roman" w:hAnsi="Times New Roman" w:cs="Times New Roman" w:eastAsia="黑体"/>
          <w:color w:val="000000"/>
          <w:sz w:val="32"/>
          <w:szCs w:val="32"/>
        </w:rPr>
        <w:t>第二十九条</w:t>
      </w:r>
      <w:r>
        <w:rPr>
          <w:rFonts w:ascii="Times New Roman" w:hAnsi="Times New Roman" w:cs="Times New Roman" w:eastAsia="仿宋_GB2312;仿宋"/>
          <w:color w:val="000000"/>
          <w:sz w:val="32"/>
          <w:szCs w:val="32"/>
        </w:rPr>
        <w:t>　</w:t>
      </w:r>
      <w:r>
        <w:rPr>
          <w:rFonts w:ascii="Times New Roman" w:hAnsi="Times New Roman" w:cs="Times New Roman" w:hint="eastAsia" w:eastAsia="仿宋_GB2312;仿宋"/>
          <w:color w:val="000000"/>
          <w:sz w:val="32"/>
          <w:szCs w:val="32"/>
        </w:rPr>
        <w:t>市人民政府和流域内县（市、区）人民政府畜牧行政主管部门应当支持涑水河流域内畜禽养殖场建设畜禽粪便、废水或者无害化处理设施。</w:t>
      </w:r>
    </w:p>
    <w:p>
      <w:pPr>
        <w:pStyle w:val="Normal"/>
        <w:keepNext w:val="false"/>
        <w:keepLines w:val="false"/>
        <w:pageBreakBefore w:val="false"/>
        <w:widowControl w:val="false"/>
        <w:kinsoku w:val="true"/>
        <w:overflowPunct w:val="true"/>
        <w:autoSpaceDE w:val="false"/>
        <w:bidi w:val="0"/>
        <w:snapToGrid w:val="true"/>
        <w:spacing w:lineRule="exact" w:line="590"/>
        <w:ind w:firstLineChars="900" w:startChars="0" w:start="0" w:endChars="0" w:end="0"/>
        <w:rPr>
          <w:rFonts w:ascii="Times New Roman" w:hAnsi="Times New Roman" w:eastAsia="黑体" w:cs="Times New Roman"/>
          <w:color w:val="000000"/>
          <w:sz w:val="32"/>
          <w:szCs w:val="32"/>
        </w:rPr>
      </w:pPr>
      <w:r>
        <w:rPr>
          <w:rFonts w:eastAsia="黑体" w:cs="Times New Roman" w:ascii="Times New Roman" w:hAnsi="Times New Roman"/>
          <w:color w:val="000000"/>
          <w:sz w:val="32"/>
          <w:szCs w:val="32"/>
        </w:rPr>
      </w:r>
    </w:p>
    <w:p>
      <w:pPr>
        <w:pStyle w:val="Normal"/>
        <w:keepNext w:val="false"/>
        <w:keepLines w:val="false"/>
        <w:pageBreakBefore w:val="false"/>
        <w:widowControl w:val="false"/>
        <w:kinsoku w:val="true"/>
        <w:overflowPunct w:val="true"/>
        <w:autoSpaceDE w:val="false"/>
        <w:bidi w:val="0"/>
        <w:snapToGrid w:val="true"/>
        <w:spacing w:lineRule="exact" w:line="590"/>
        <w:ind w:firstLineChars="0" w:firstLine="0" w:startChars="0" w:start="0" w:endChars="0" w:end="0"/>
        <w:jc w:val="center"/>
        <w:rPr>
          <w:rFonts w:ascii="Times New Roman" w:hAnsi="Times New Roman" w:eastAsia="黑体" w:cs="Times New Roman"/>
          <w:color w:val="000000"/>
          <w:sz w:val="32"/>
          <w:szCs w:val="32"/>
        </w:rPr>
      </w:pPr>
      <w:r>
        <w:rPr>
          <w:rFonts w:ascii="Times New Roman" w:hAnsi="Times New Roman" w:cs="Times New Roman" w:eastAsia="黑体"/>
          <w:color w:val="000000"/>
          <w:sz w:val="32"/>
          <w:szCs w:val="32"/>
        </w:rPr>
        <w:t>第四章　监督检查</w:t>
      </w:r>
    </w:p>
    <w:p>
      <w:pPr>
        <w:pStyle w:val="Normal"/>
        <w:keepNext w:val="false"/>
        <w:keepLines w:val="false"/>
        <w:pageBreakBefore w:val="false"/>
        <w:widowControl w:val="false"/>
        <w:kinsoku w:val="true"/>
        <w:overflowPunct w:val="true"/>
        <w:autoSpaceDE w:val="false"/>
        <w:bidi w:val="0"/>
        <w:snapToGrid w:val="true"/>
        <w:spacing w:lineRule="exact" w:line="590"/>
        <w:ind w:firstLineChars="900" w:startChars="0" w:start="0" w:endChars="0" w:end="0"/>
        <w:rPr>
          <w:rFonts w:ascii="Times New Roman" w:hAnsi="Times New Roman" w:eastAsia="黑体" w:cs="Times New Roman"/>
          <w:color w:val="000000"/>
          <w:sz w:val="32"/>
          <w:szCs w:val="32"/>
        </w:rPr>
      </w:pPr>
      <w:r>
        <w:rPr>
          <w:rFonts w:eastAsia="黑体" w:cs="Times New Roman" w:ascii="Times New Roman" w:hAnsi="Times New Roman"/>
          <w:color w:val="000000"/>
          <w:sz w:val="32"/>
          <w:szCs w:val="32"/>
        </w:rPr>
      </w:r>
    </w:p>
    <w:p>
      <w:pPr>
        <w:pStyle w:val="Normal"/>
        <w:keepNext w:val="false"/>
        <w:keepLines w:val="false"/>
        <w:pageBreakBefore w:val="false"/>
        <w:widowControl w:val="false"/>
        <w:kinsoku w:val="true"/>
        <w:overflowPunct w:val="true"/>
        <w:autoSpaceDE w:val="false"/>
        <w:bidi w:val="0"/>
        <w:snapToGrid w:val="true"/>
        <w:spacing w:lineRule="exact" w:line="590"/>
        <w:ind w:firstLineChars="0" w:firstLine="0" w:startChars="0" w:start="0" w:endChars="0" w:end="0"/>
        <w:rPr>
          <w:rFonts w:ascii="Times New Roman" w:hAnsi="Times New Roman" w:eastAsia="仿宋_GB2312;仿宋" w:cs="Times New Roman" w:hint="eastAsia"/>
          <w:color w:val="000000"/>
          <w:sz w:val="32"/>
          <w:szCs w:val="32"/>
        </w:rPr>
      </w:pPr>
      <w:r>
        <w:rPr>
          <w:rFonts w:ascii="Times New Roman" w:hAnsi="Times New Roman" w:cs="Times New Roman" w:eastAsia="黑体"/>
          <w:color w:val="000000"/>
          <w:sz w:val="32"/>
          <w:szCs w:val="32"/>
        </w:rPr>
        <w:t>第三十条　</w:t>
      </w:r>
      <w:r>
        <w:rPr>
          <w:rFonts w:ascii="Times New Roman" w:hAnsi="Times New Roman" w:cs="Times New Roman" w:hint="eastAsia" w:eastAsia="仿宋_GB2312;仿宋"/>
          <w:color w:val="000000"/>
          <w:sz w:val="32"/>
          <w:szCs w:val="32"/>
        </w:rPr>
        <w:t>市人民政府和流域内县（市、区）人民政府应当定期向本级人民代表大会及其常务委员会报告涑水河流域生态修复与保护情况。</w:t>
      </w:r>
    </w:p>
    <w:p>
      <w:pPr>
        <w:pStyle w:val="Normal"/>
        <w:keepNext w:val="false"/>
        <w:keepLines w:val="false"/>
        <w:pageBreakBefore w:val="false"/>
        <w:widowControl w:val="false"/>
        <w:kinsoku w:val="true"/>
        <w:overflowPunct w:val="true"/>
        <w:autoSpaceDE w:val="false"/>
        <w:bidi w:val="0"/>
        <w:snapToGrid w:val="true"/>
        <w:spacing w:lineRule="exact" w:line="590"/>
        <w:ind w:firstLineChars="0" w:firstLine="0" w:startChars="0" w:start="0" w:endChars="0" w:end="0"/>
        <w:rPr>
          <w:rFonts w:ascii="Times New Roman" w:hAnsi="Times New Roman" w:eastAsia="仿宋_GB2312;仿宋" w:cs="Times New Roman" w:hint="eastAsia"/>
          <w:color w:val="000000"/>
          <w:sz w:val="32"/>
          <w:szCs w:val="32"/>
        </w:rPr>
      </w:pPr>
      <w:r>
        <w:rPr>
          <w:rFonts w:ascii="Times New Roman" w:hAnsi="Times New Roman" w:cs="Times New Roman" w:eastAsia="黑体"/>
          <w:color w:val="000000"/>
          <w:sz w:val="32"/>
          <w:szCs w:val="32"/>
        </w:rPr>
        <w:t>第三十一条　</w:t>
      </w:r>
      <w:r>
        <w:rPr>
          <w:rFonts w:ascii="Times New Roman" w:hAnsi="Times New Roman" w:cs="Times New Roman" w:hint="eastAsia" w:eastAsia="仿宋_GB2312;仿宋"/>
          <w:color w:val="000000"/>
          <w:sz w:val="32"/>
          <w:szCs w:val="32"/>
        </w:rPr>
        <w:t>流域内县（市、区）人民政府应当组织水利、环境保护、国土资源、林业、农业、气象等行政主管部门，按照国家统一规划布局、统一标准方法、统一信息发布的要求，建立涑水河流域生态修复与保护监测体系和信息共享平台，实施数据信息共享和实时监测，并接受社会监督。</w:t>
      </w:r>
    </w:p>
    <w:p>
      <w:pPr>
        <w:pStyle w:val="Normal"/>
        <w:keepNext w:val="false"/>
        <w:keepLines w:val="false"/>
        <w:pageBreakBefore w:val="false"/>
        <w:widowControl w:val="false"/>
        <w:kinsoku w:val="true"/>
        <w:overflowPunct w:val="true"/>
        <w:autoSpaceDE w:val="false"/>
        <w:bidi w:val="0"/>
        <w:snapToGrid w:val="true"/>
        <w:spacing w:lineRule="exact" w:line="590"/>
        <w:ind w:firstLineChars="0" w:firstLine="0" w:startChars="0" w:start="0" w:endChars="0" w:end="0"/>
        <w:rPr>
          <w:rFonts w:ascii="Times New Roman" w:hAnsi="Times New Roman" w:eastAsia="仿宋_GB2312;仿宋" w:cs="Times New Roman" w:hint="eastAsia"/>
          <w:color w:val="000000"/>
          <w:sz w:val="32"/>
          <w:szCs w:val="32"/>
        </w:rPr>
      </w:pPr>
      <w:r>
        <w:rPr>
          <w:rFonts w:ascii="Times New Roman" w:hAnsi="Times New Roman" w:cs="Times New Roman" w:eastAsia="黑体"/>
          <w:color w:val="000000"/>
          <w:sz w:val="32"/>
          <w:szCs w:val="32"/>
        </w:rPr>
        <w:t>第三十二条　</w:t>
      </w:r>
      <w:r>
        <w:rPr>
          <w:rFonts w:ascii="Times New Roman" w:hAnsi="Times New Roman" w:cs="Times New Roman" w:hint="eastAsia" w:eastAsia="仿宋_GB2312;仿宋"/>
          <w:color w:val="000000"/>
          <w:sz w:val="32"/>
          <w:szCs w:val="32"/>
        </w:rPr>
        <w:t>流域内县（市、区）人民政府应当建立部门联合执法检查机制，对破坏涑水河流域生态环境的行为依法进行处理。</w:t>
      </w:r>
    </w:p>
    <w:p>
      <w:pPr>
        <w:pStyle w:val="Normal"/>
        <w:keepNext w:val="false"/>
        <w:keepLines w:val="false"/>
        <w:pageBreakBefore w:val="false"/>
        <w:widowControl w:val="false"/>
        <w:kinsoku w:val="true"/>
        <w:overflowPunct w:val="true"/>
        <w:autoSpaceDE w:val="false"/>
        <w:bidi w:val="0"/>
        <w:snapToGrid w:val="true"/>
        <w:spacing w:lineRule="exact" w:line="590"/>
        <w:ind w:firstLineChars="0" w:firstLine="0" w:startChars="0" w:start="0" w:endChars="0" w:end="0"/>
        <w:rPr>
          <w:rFonts w:ascii="Times New Roman" w:hAnsi="Times New Roman" w:eastAsia="仿宋_GB2312;仿宋" w:cs="Times New Roman"/>
          <w:color w:val="000000"/>
          <w:sz w:val="32"/>
          <w:szCs w:val="32"/>
        </w:rPr>
      </w:pPr>
      <w:r>
        <w:rPr>
          <w:rFonts w:eastAsia="仿宋_GB2312;仿宋" w:cs="Times New Roman" w:ascii="Times New Roman" w:hAnsi="Times New Roman"/>
          <w:color w:val="000000"/>
          <w:sz w:val="32"/>
          <w:szCs w:val="32"/>
        </w:rPr>
      </w:r>
    </w:p>
    <w:p>
      <w:pPr>
        <w:pStyle w:val="Normal"/>
        <w:keepNext w:val="false"/>
        <w:keepLines w:val="false"/>
        <w:pageBreakBefore w:val="false"/>
        <w:widowControl w:val="false"/>
        <w:kinsoku w:val="true"/>
        <w:overflowPunct w:val="true"/>
        <w:autoSpaceDE w:val="false"/>
        <w:bidi w:val="0"/>
        <w:snapToGrid w:val="true"/>
        <w:spacing w:lineRule="exact" w:line="590"/>
        <w:ind w:firstLineChars="0" w:firstLine="0" w:startChars="0" w:start="0" w:endChars="0" w:end="0"/>
        <w:jc w:val="center"/>
        <w:rPr>
          <w:rFonts w:ascii="Times New Roman" w:hAnsi="Times New Roman" w:eastAsia="黑体" w:cs="Times New Roman"/>
          <w:color w:val="000000"/>
          <w:sz w:val="32"/>
          <w:szCs w:val="32"/>
        </w:rPr>
      </w:pPr>
      <w:r>
        <w:rPr>
          <w:rFonts w:ascii="Times New Roman" w:hAnsi="Times New Roman" w:cs="Times New Roman" w:eastAsia="黑体"/>
          <w:color w:val="000000"/>
          <w:sz w:val="32"/>
          <w:szCs w:val="32"/>
        </w:rPr>
        <w:t>第五章　法律责任</w:t>
      </w:r>
    </w:p>
    <w:p>
      <w:pPr>
        <w:pStyle w:val="Normal"/>
        <w:keepNext w:val="false"/>
        <w:keepLines w:val="false"/>
        <w:pageBreakBefore w:val="false"/>
        <w:widowControl w:val="false"/>
        <w:kinsoku w:val="true"/>
        <w:overflowPunct w:val="true"/>
        <w:autoSpaceDE w:val="false"/>
        <w:bidi w:val="0"/>
        <w:snapToGrid w:val="true"/>
        <w:spacing w:lineRule="exact" w:line="590"/>
        <w:ind w:firstLineChars="0" w:firstLine="0" w:startChars="0" w:start="0" w:endChars="0" w:end="0"/>
        <w:jc w:val="center"/>
        <w:rPr>
          <w:rFonts w:ascii="Times New Roman" w:hAnsi="Times New Roman" w:eastAsia="黑体" w:cs="Times New Roman"/>
          <w:color w:val="000000"/>
          <w:sz w:val="32"/>
          <w:szCs w:val="32"/>
        </w:rPr>
      </w:pPr>
      <w:r>
        <w:rPr>
          <w:rFonts w:eastAsia="黑体" w:cs="Times New Roman" w:ascii="Times New Roman" w:hAnsi="Times New Roman"/>
          <w:color w:val="000000"/>
          <w:sz w:val="32"/>
          <w:szCs w:val="32"/>
        </w:rPr>
      </w:r>
    </w:p>
    <w:p>
      <w:pPr>
        <w:pStyle w:val="Normal"/>
        <w:keepNext w:val="false"/>
        <w:keepLines w:val="false"/>
        <w:pageBreakBefore w:val="false"/>
        <w:widowControl w:val="false"/>
        <w:kinsoku w:val="true"/>
        <w:overflowPunct w:val="true"/>
        <w:autoSpaceDE w:val="false"/>
        <w:bidi w:val="0"/>
        <w:snapToGrid w:val="true"/>
        <w:spacing w:lineRule="exact" w:line="590"/>
        <w:ind w:firstLineChars="200" w:startChars="0" w:start="0" w:endChars="0" w:end="0"/>
        <w:rPr>
          <w:rFonts w:ascii="Times New Roman" w:hAnsi="Times New Roman" w:eastAsia="仿宋_GB2312;仿宋" w:cs="Times New Roman" w:hint="eastAsia"/>
          <w:color w:val="000000"/>
          <w:sz w:val="32"/>
          <w:szCs w:val="32"/>
        </w:rPr>
      </w:pPr>
      <w:r>
        <w:rPr>
          <w:rFonts w:ascii="Times New Roman" w:hAnsi="Times New Roman" w:cs="Times New Roman" w:eastAsia="黑体"/>
          <w:color w:val="000000"/>
          <w:sz w:val="32"/>
          <w:szCs w:val="32"/>
        </w:rPr>
        <w:t>第三十三条　</w:t>
      </w:r>
      <w:r>
        <w:rPr>
          <w:rFonts w:ascii="Times New Roman" w:hAnsi="Times New Roman" w:cs="Times New Roman" w:hint="eastAsia" w:eastAsia="仿宋_GB2312;仿宋"/>
          <w:color w:val="000000"/>
          <w:sz w:val="32"/>
          <w:szCs w:val="32"/>
        </w:rPr>
        <w:t>违反本条例规定，法律、法规已有法律责任规定的，从其规定。</w:t>
      </w:r>
    </w:p>
    <w:p>
      <w:pPr>
        <w:pStyle w:val="Normal"/>
        <w:keepNext w:val="false"/>
        <w:keepLines w:val="false"/>
        <w:pageBreakBefore w:val="false"/>
        <w:widowControl w:val="false"/>
        <w:kinsoku w:val="true"/>
        <w:overflowPunct w:val="true"/>
        <w:autoSpaceDE w:val="false"/>
        <w:bidi w:val="0"/>
        <w:snapToGrid w:val="true"/>
        <w:spacing w:lineRule="exact" w:line="590"/>
        <w:ind w:firstLineChars="200" w:startChars="0" w:start="0" w:endChars="0" w:end="0"/>
        <w:jc w:val="both"/>
        <w:textAlignment w:val="auto"/>
        <w:rPr>
          <w:rFonts w:ascii="Times New Roman" w:hAnsi="Times New Roman" w:eastAsia="仿宋_GB2312;仿宋" w:cs="Times New Roman" w:hint="eastAsia"/>
          <w:color w:val="000000"/>
          <w:sz w:val="32"/>
          <w:szCs w:val="32"/>
        </w:rPr>
      </w:pPr>
      <w:r>
        <w:rPr>
          <w:rFonts w:ascii="Times New Roman" w:hAnsi="Times New Roman" w:cs="Times New Roman" w:eastAsia="黑体"/>
          <w:color w:val="000000"/>
          <w:sz w:val="32"/>
          <w:szCs w:val="32"/>
        </w:rPr>
        <w:t>第三十四条</w:t>
      </w:r>
      <w:r>
        <w:rPr>
          <w:rFonts w:ascii="Times New Roman" w:hAnsi="Times New Roman" w:cs="Times New Roman" w:eastAsia="仿宋_GB2312;仿宋"/>
          <w:color w:val="000000"/>
          <w:sz w:val="32"/>
          <w:szCs w:val="32"/>
        </w:rPr>
        <w:t>　</w:t>
      </w:r>
      <w:r>
        <w:rPr>
          <w:rFonts w:ascii="Times New Roman" w:hAnsi="Times New Roman" w:cs="Times New Roman" w:hint="eastAsia" w:eastAsia="仿宋_GB2312;仿宋"/>
          <w:color w:val="000000"/>
          <w:sz w:val="32"/>
          <w:szCs w:val="32"/>
        </w:rPr>
        <w:t>违反本条例十九条第二款规定，围垦河道、擅自占用开发河道滩地的，由流域内县（市、区）人民政府水行政主管部门责令停止违法行为，恢复原状或者采取其他补救措施，可以处一万元以上五万元以下的罚款；既不恢复原状也不采取其他补救措施的，代为恢复原状或者采取其他补救措施，所需费用由违法者承担。</w:t>
      </w:r>
    </w:p>
    <w:p>
      <w:pPr>
        <w:pStyle w:val="Normal"/>
        <w:keepNext w:val="false"/>
        <w:keepLines w:val="false"/>
        <w:pageBreakBefore w:val="false"/>
        <w:widowControl w:val="false"/>
        <w:kinsoku w:val="true"/>
        <w:overflowPunct w:val="true"/>
        <w:autoSpaceDE w:val="false"/>
        <w:bidi w:val="0"/>
        <w:snapToGrid w:val="true"/>
        <w:spacing w:lineRule="exact" w:line="590"/>
        <w:ind w:firstLineChars="200" w:startChars="0" w:start="0" w:endChars="0" w:end="0"/>
        <w:jc w:val="both"/>
        <w:textAlignment w:val="auto"/>
        <w:rPr>
          <w:rFonts w:ascii="Times New Roman" w:hAnsi="Times New Roman" w:eastAsia="仿宋_GB2312;仿宋" w:cs="Times New Roman" w:hint="eastAsia"/>
          <w:color w:val="000000"/>
          <w:sz w:val="32"/>
          <w:szCs w:val="32"/>
        </w:rPr>
      </w:pPr>
      <w:r>
        <w:rPr>
          <w:rFonts w:ascii="Times New Roman" w:hAnsi="Times New Roman" w:cs="Times New Roman" w:eastAsia="黑体"/>
          <w:color w:val="000000"/>
          <w:sz w:val="32"/>
          <w:szCs w:val="32"/>
        </w:rPr>
        <w:t xml:space="preserve">第三十五条  </w:t>
      </w:r>
      <w:r>
        <w:rPr>
          <w:rFonts w:ascii="Times New Roman" w:hAnsi="Times New Roman" w:cs="Times New Roman" w:hint="eastAsia" w:eastAsia="仿宋_GB2312;仿宋"/>
          <w:color w:val="000000"/>
          <w:sz w:val="32"/>
          <w:szCs w:val="32"/>
        </w:rPr>
        <w:t>违反本条例第二十条第二款规定，围垦、填埋涑水河流域内湿地的，由流域内县（市、区）人民政府林业行政主管部门责令停止违法行为，限期恢复原状，并处每平方</w:t>
      </w:r>
      <w:r>
        <w:rPr>
          <w:rFonts w:ascii="Times New Roman" w:hAnsi="Times New Roman" w:cs="Times New Roman" w:eastAsia="仿宋_GB2312;仿宋"/>
          <w:color w:val="000000"/>
          <w:sz w:val="32"/>
          <w:szCs w:val="32"/>
        </w:rPr>
        <w:t>米</w:t>
      </w:r>
      <w:r>
        <w:rPr>
          <w:rFonts w:eastAsia="仿宋_GB2312;仿宋" w:cs="Times New Roman" w:ascii="Times New Roman" w:hAnsi="Times New Roman"/>
          <w:color w:val="000000"/>
          <w:sz w:val="32"/>
          <w:szCs w:val="32"/>
        </w:rPr>
        <w:t>50</w:t>
      </w:r>
      <w:r>
        <w:rPr>
          <w:rFonts w:ascii="Times New Roman" w:hAnsi="Times New Roman" w:cs="Times New Roman" w:eastAsia="仿宋_GB2312;仿宋"/>
          <w:color w:val="000000"/>
          <w:sz w:val="32"/>
          <w:szCs w:val="32"/>
        </w:rPr>
        <w:t>元至</w:t>
      </w:r>
      <w:r>
        <w:rPr>
          <w:rFonts w:eastAsia="仿宋_GB2312;仿宋" w:cs="Times New Roman" w:ascii="Times New Roman" w:hAnsi="Times New Roman"/>
          <w:color w:val="000000"/>
          <w:sz w:val="32"/>
          <w:szCs w:val="32"/>
        </w:rPr>
        <w:t>100</w:t>
      </w:r>
      <w:r>
        <w:rPr>
          <w:rFonts w:ascii="Times New Roman" w:hAnsi="Times New Roman" w:cs="Times New Roman" w:eastAsia="仿宋_GB2312;仿宋"/>
          <w:color w:val="000000"/>
          <w:sz w:val="32"/>
          <w:szCs w:val="32"/>
        </w:rPr>
        <w:t>元</w:t>
      </w:r>
      <w:r>
        <w:rPr>
          <w:rFonts w:ascii="Times New Roman" w:hAnsi="Times New Roman" w:cs="Times New Roman" w:hint="eastAsia" w:eastAsia="仿宋_GB2312;仿宋"/>
          <w:color w:val="000000"/>
          <w:sz w:val="32"/>
          <w:szCs w:val="32"/>
        </w:rPr>
        <w:t>的罚款；擅自排放涑水河流域内湿地水资源或者堵截湿地水系与外围水系的，由流域内县（市、区）人民政府林业行政主管部门责令停止违法行为，并处一万元以上五万元以下的罚款。</w:t>
      </w:r>
    </w:p>
    <w:p>
      <w:pPr>
        <w:pStyle w:val="Style15"/>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Times New Roman" w:hAnsi="Times New Roman" w:eastAsia="仿宋_GB2312;仿宋" w:cs="Times New Roman" w:hint="eastAsia"/>
          <w:color w:val="000000"/>
          <w:kern w:val="2"/>
          <w:sz w:val="32"/>
          <w:szCs w:val="32"/>
        </w:rPr>
      </w:pPr>
      <w:r>
        <w:rPr>
          <w:rFonts w:ascii="Times New Roman" w:hAnsi="Times New Roman" w:cs="Times New Roman" w:eastAsia="黑体"/>
          <w:color w:val="000000"/>
          <w:sz w:val="32"/>
          <w:szCs w:val="32"/>
        </w:rPr>
        <w:t>第三十六条</w:t>
      </w:r>
      <w:r>
        <w:rPr>
          <w:rFonts w:ascii="Times New Roman" w:hAnsi="Times New Roman" w:cs="Times New Roman" w:eastAsia="仿宋_GB2312;仿宋"/>
          <w:color w:val="000000"/>
          <w:sz w:val="32"/>
          <w:szCs w:val="32"/>
        </w:rPr>
        <w:t>　</w:t>
      </w:r>
      <w:r>
        <w:rPr>
          <w:rFonts w:ascii="Times New Roman" w:hAnsi="Times New Roman" w:cs="Times New Roman" w:hint="eastAsia" w:eastAsia="仿宋_GB2312;仿宋"/>
          <w:color w:val="000000"/>
          <w:kern w:val="2"/>
          <w:sz w:val="32"/>
          <w:szCs w:val="32"/>
        </w:rPr>
        <w:t>违反本条例第二十二条规定，建设项目未编制水土保持方案施工的，由流域内县（市、区）人民政府水行政主管部门责令停止违法行为，限期补办手续；逾期不补办手续的，处五万元以上五十万元以下的罚款。</w:t>
      </w:r>
    </w:p>
    <w:p>
      <w:pPr>
        <w:pStyle w:val="Normal"/>
        <w:keepNext w:val="false"/>
        <w:keepLines w:val="false"/>
        <w:pageBreakBefore w:val="false"/>
        <w:widowControl w:val="false"/>
        <w:kinsoku w:val="true"/>
        <w:overflowPunct w:val="true"/>
        <w:autoSpaceDE w:val="false"/>
        <w:bidi w:val="0"/>
        <w:snapToGrid w:val="true"/>
        <w:spacing w:lineRule="exact" w:line="590"/>
        <w:ind w:firstLineChars="200" w:startChars="0" w:start="0" w:endChars="0" w:end="0"/>
        <w:jc w:val="both"/>
        <w:textAlignment w:val="auto"/>
        <w:rPr>
          <w:rFonts w:ascii="Times New Roman" w:hAnsi="Times New Roman" w:eastAsia="仿宋_GB2312;仿宋" w:cs="Times New Roman"/>
          <w:color w:val="000000"/>
          <w:sz w:val="32"/>
          <w:szCs w:val="32"/>
        </w:rPr>
      </w:pPr>
      <w:r>
        <w:rPr>
          <w:rFonts w:ascii="Times New Roman" w:hAnsi="Times New Roman" w:cs="Times New Roman" w:eastAsia="黑体"/>
          <w:color w:val="000000"/>
          <w:kern w:val="0"/>
          <w:sz w:val="32"/>
          <w:szCs w:val="32"/>
        </w:rPr>
        <w:t>第三十七条　</w:t>
      </w:r>
      <w:r>
        <w:rPr>
          <w:rFonts w:ascii="Times New Roman" w:hAnsi="Times New Roman" w:cs="Times New Roman" w:eastAsia="仿宋_GB2312;仿宋"/>
          <w:color w:val="000000"/>
          <w:sz w:val="32"/>
          <w:szCs w:val="32"/>
        </w:rPr>
        <w:t>违反本条例第二十七条规定，超过水污染物排放标准或者超过重点水污染物排放总量指标排放水污染物的，由市人民政府和流域内县（市、区）人民政府环境保护行政主管部门按照权限责令改正或者责令限制生产、停产整治，并处十万元以上一百万元以下的罚款。</w:t>
      </w:r>
    </w:p>
    <w:p>
      <w:pPr>
        <w:pStyle w:val="Normal"/>
        <w:keepNext w:val="false"/>
        <w:keepLines w:val="false"/>
        <w:pageBreakBefore w:val="false"/>
        <w:widowControl w:val="false"/>
        <w:kinsoku w:val="true"/>
        <w:overflowPunct w:val="true"/>
        <w:autoSpaceDE w:val="false"/>
        <w:bidi w:val="0"/>
        <w:snapToGrid w:val="true"/>
        <w:spacing w:lineRule="exact" w:line="590"/>
        <w:ind w:firstLineChars="200" w:startChars="0" w:start="0" w:endChars="0" w:end="0"/>
        <w:jc w:val="both"/>
        <w:textAlignment w:val="auto"/>
        <w:rPr>
          <w:rFonts w:ascii="Times New Roman" w:hAnsi="Times New Roman" w:eastAsia="仿宋_GB2312;仿宋" w:cs="Times New Roman"/>
          <w:color w:val="000000"/>
          <w:sz w:val="32"/>
          <w:szCs w:val="32"/>
        </w:rPr>
      </w:pPr>
      <w:r>
        <w:rPr>
          <w:rFonts w:ascii="Times New Roman" w:hAnsi="Times New Roman" w:cs="Times New Roman" w:eastAsia="黑体"/>
          <w:color w:val="000000"/>
          <w:sz w:val="32"/>
          <w:szCs w:val="32"/>
        </w:rPr>
        <w:t>第三十八条</w:t>
      </w:r>
      <w:r>
        <w:rPr>
          <w:rFonts w:ascii="Times New Roman" w:hAnsi="Times New Roman" w:cs="Times New Roman" w:eastAsia="仿宋_GB2312;仿宋"/>
          <w:color w:val="000000"/>
          <w:sz w:val="32"/>
          <w:szCs w:val="32"/>
        </w:rPr>
        <w:t>　国家机关工作人员在涑水河流域生态修复与保护中违反本条例规定，有下列情形之一的，对直接负责的主管人员和其他直接责任人依法给予行政处分；情节严重，构成犯罪的，依法追究刑事责任：</w:t>
      </w:r>
    </w:p>
    <w:p>
      <w:pPr>
        <w:pStyle w:val="Normal"/>
        <w:keepNext w:val="false"/>
        <w:keepLines w:val="false"/>
        <w:pageBreakBefore w:val="false"/>
        <w:widowControl w:val="false"/>
        <w:kinsoku w:val="true"/>
        <w:overflowPunct w:val="true"/>
        <w:autoSpaceDE w:val="false"/>
        <w:bidi w:val="0"/>
        <w:snapToGrid w:val="true"/>
        <w:spacing w:lineRule="exact" w:line="590"/>
        <w:ind w:firstLineChars="0" w:firstLine="0" w:startChars="0" w:start="0" w:endChars="0" w:end="0"/>
        <w:rPr>
          <w:rFonts w:ascii="Times New Roman" w:hAnsi="Times New Roman" w:eastAsia="仿宋_GB2312;仿宋" w:cs="Times New Roman"/>
          <w:color w:val="000000"/>
          <w:sz w:val="32"/>
          <w:szCs w:val="32"/>
        </w:rPr>
      </w:pPr>
      <w:r>
        <w:rPr>
          <w:rFonts w:ascii="Times New Roman" w:hAnsi="Times New Roman" w:cs="Times New Roman" w:eastAsia="仿宋_GB2312;仿宋"/>
          <w:color w:val="000000"/>
          <w:sz w:val="32"/>
          <w:szCs w:val="32"/>
        </w:rPr>
        <w:t>（一）不执行水量配置和调度计划、指令的；</w:t>
      </w:r>
    </w:p>
    <w:p>
      <w:pPr>
        <w:pStyle w:val="Normal"/>
        <w:keepNext w:val="false"/>
        <w:keepLines w:val="false"/>
        <w:pageBreakBefore w:val="false"/>
        <w:widowControl w:val="false"/>
        <w:kinsoku w:val="true"/>
        <w:overflowPunct w:val="true"/>
        <w:autoSpaceDE w:val="false"/>
        <w:bidi w:val="0"/>
        <w:snapToGrid w:val="true"/>
        <w:spacing w:lineRule="exact" w:line="590"/>
        <w:ind w:firstLineChars="0" w:firstLine="0" w:startChars="0" w:start="0" w:endChars="0" w:end="0"/>
        <w:rPr>
          <w:rFonts w:ascii="Times New Roman" w:hAnsi="Times New Roman" w:eastAsia="仿宋_GB2312;仿宋" w:cs="Times New Roman"/>
          <w:color w:val="000000"/>
          <w:sz w:val="32"/>
          <w:szCs w:val="32"/>
        </w:rPr>
      </w:pPr>
      <w:r>
        <w:rPr>
          <w:rFonts w:ascii="Times New Roman" w:hAnsi="Times New Roman" w:cs="Times New Roman" w:eastAsia="仿宋_GB2312;仿宋"/>
          <w:color w:val="000000"/>
          <w:sz w:val="32"/>
          <w:szCs w:val="32"/>
        </w:rPr>
        <w:t>（二）不执行流域关井压采实施方案的；</w:t>
      </w:r>
    </w:p>
    <w:p>
      <w:pPr>
        <w:pStyle w:val="Normal"/>
        <w:keepNext w:val="false"/>
        <w:keepLines w:val="false"/>
        <w:pageBreakBefore w:val="false"/>
        <w:widowControl w:val="false"/>
        <w:kinsoku w:val="true"/>
        <w:overflowPunct w:val="true"/>
        <w:autoSpaceDE w:val="false"/>
        <w:bidi w:val="0"/>
        <w:snapToGrid w:val="true"/>
        <w:spacing w:lineRule="exact" w:line="590"/>
        <w:ind w:firstLineChars="0" w:firstLine="0" w:startChars="0" w:start="0" w:endChars="0" w:end="0"/>
        <w:rPr>
          <w:rFonts w:ascii="Times New Roman" w:hAnsi="Times New Roman" w:eastAsia="仿宋_GB2312;仿宋" w:cs="Times New Roman"/>
          <w:color w:val="000000"/>
          <w:sz w:val="32"/>
          <w:szCs w:val="32"/>
        </w:rPr>
      </w:pPr>
      <w:r>
        <w:rPr>
          <w:rFonts w:ascii="Times New Roman" w:hAnsi="Times New Roman" w:cs="Times New Roman" w:eastAsia="仿宋_GB2312;仿宋"/>
          <w:color w:val="000000"/>
          <w:sz w:val="32"/>
          <w:szCs w:val="32"/>
        </w:rPr>
        <w:t>（三）违反规定审批开发建设项目的；</w:t>
      </w:r>
    </w:p>
    <w:p>
      <w:pPr>
        <w:pStyle w:val="Normal"/>
        <w:keepNext w:val="false"/>
        <w:keepLines w:val="false"/>
        <w:pageBreakBefore w:val="false"/>
        <w:widowControl w:val="false"/>
        <w:kinsoku w:val="true"/>
        <w:overflowPunct w:val="true"/>
        <w:autoSpaceDE w:val="false"/>
        <w:bidi w:val="0"/>
        <w:snapToGrid w:val="true"/>
        <w:spacing w:lineRule="exact" w:line="590"/>
        <w:ind w:firstLineChars="0" w:firstLine="0" w:startChars="0" w:start="0" w:endChars="0" w:end="0"/>
        <w:rPr>
          <w:rFonts w:ascii="Times New Roman" w:hAnsi="Times New Roman" w:eastAsia="仿宋_GB2312;仿宋" w:cs="Times New Roman"/>
          <w:color w:val="000000"/>
          <w:sz w:val="32"/>
          <w:szCs w:val="32"/>
        </w:rPr>
      </w:pPr>
      <w:r>
        <w:rPr>
          <w:rFonts w:ascii="Times New Roman" w:hAnsi="Times New Roman" w:cs="Times New Roman" w:eastAsia="仿宋_GB2312;仿宋"/>
          <w:color w:val="000000"/>
          <w:sz w:val="32"/>
          <w:szCs w:val="32"/>
        </w:rPr>
        <w:t>（四）其他滥用职权、玩忽职守、徇私舞弊的。</w:t>
      </w:r>
    </w:p>
    <w:p>
      <w:pPr>
        <w:pStyle w:val="Normal"/>
        <w:keepNext w:val="false"/>
        <w:keepLines w:val="false"/>
        <w:pageBreakBefore w:val="false"/>
        <w:widowControl w:val="false"/>
        <w:kinsoku w:val="true"/>
        <w:overflowPunct w:val="true"/>
        <w:autoSpaceDE w:val="false"/>
        <w:bidi w:val="0"/>
        <w:snapToGrid w:val="true"/>
        <w:spacing w:lineRule="exact" w:line="590"/>
        <w:ind w:firstLineChars="0" w:firstLine="0" w:startChars="0" w:start="0" w:endChars="0" w:end="0"/>
        <w:jc w:val="center"/>
        <w:rPr>
          <w:rFonts w:ascii="Times New Roman" w:hAnsi="Times New Roman" w:eastAsia="黑体" w:cs="Times New Roman"/>
          <w:color w:val="000000"/>
          <w:sz w:val="32"/>
          <w:szCs w:val="32"/>
        </w:rPr>
      </w:pPr>
      <w:r>
        <w:rPr>
          <w:rFonts w:eastAsia="黑体" w:cs="Times New Roman" w:ascii="Times New Roman" w:hAnsi="Times New Roman"/>
          <w:color w:val="000000"/>
          <w:sz w:val="32"/>
          <w:szCs w:val="32"/>
        </w:rPr>
      </w:r>
    </w:p>
    <w:p>
      <w:pPr>
        <w:pStyle w:val="Normal"/>
        <w:keepNext w:val="false"/>
        <w:keepLines w:val="false"/>
        <w:pageBreakBefore w:val="false"/>
        <w:widowControl w:val="false"/>
        <w:kinsoku w:val="true"/>
        <w:overflowPunct w:val="true"/>
        <w:autoSpaceDE w:val="false"/>
        <w:bidi w:val="0"/>
        <w:snapToGrid w:val="true"/>
        <w:spacing w:lineRule="exact" w:line="590"/>
        <w:ind w:firstLineChars="0" w:firstLine="0" w:startChars="0" w:start="0" w:endChars="0" w:end="0"/>
        <w:jc w:val="center"/>
        <w:rPr>
          <w:rFonts w:ascii="Times New Roman" w:hAnsi="Times New Roman" w:eastAsia="黑体" w:cs="Times New Roman"/>
          <w:color w:val="000000"/>
          <w:sz w:val="32"/>
          <w:szCs w:val="32"/>
        </w:rPr>
      </w:pPr>
      <w:r>
        <w:rPr>
          <w:rFonts w:ascii="Times New Roman" w:hAnsi="Times New Roman" w:cs="Times New Roman" w:eastAsia="黑体"/>
          <w:color w:val="000000"/>
          <w:sz w:val="32"/>
          <w:szCs w:val="32"/>
        </w:rPr>
        <w:t>第六章  附　则</w:t>
      </w:r>
    </w:p>
    <w:p>
      <w:pPr>
        <w:pStyle w:val="Normal"/>
        <w:keepNext w:val="false"/>
        <w:keepLines w:val="false"/>
        <w:pageBreakBefore w:val="false"/>
        <w:widowControl w:val="false"/>
        <w:kinsoku w:val="true"/>
        <w:overflowPunct w:val="true"/>
        <w:autoSpaceDE w:val="false"/>
        <w:bidi w:val="0"/>
        <w:snapToGrid w:val="true"/>
        <w:spacing w:lineRule="exact" w:line="590"/>
        <w:ind w:firstLineChars="0" w:firstLine="0" w:startChars="0" w:start="0" w:endChars="0" w:end="0"/>
        <w:jc w:val="center"/>
        <w:rPr>
          <w:rFonts w:ascii="Times New Roman" w:hAnsi="Times New Roman" w:eastAsia="黑体" w:cs="Times New Roman"/>
          <w:color w:val="000000"/>
          <w:sz w:val="32"/>
          <w:szCs w:val="32"/>
        </w:rPr>
      </w:pPr>
      <w:r>
        <w:rPr>
          <w:rFonts w:eastAsia="黑体" w:cs="Times New Roman" w:ascii="Times New Roman" w:hAnsi="Times New Roman"/>
          <w:color w:val="000000"/>
          <w:sz w:val="32"/>
          <w:szCs w:val="32"/>
        </w:rPr>
      </w:r>
    </w:p>
    <w:p>
      <w:pPr>
        <w:pStyle w:val="Normal"/>
        <w:keepNext w:val="false"/>
        <w:keepLines w:val="false"/>
        <w:pageBreakBefore w:val="false"/>
        <w:widowControl w:val="false"/>
        <w:kinsoku w:val="true"/>
        <w:overflowPunct w:val="true"/>
        <w:autoSpaceDE w:val="false"/>
        <w:bidi w:val="0"/>
        <w:snapToGrid w:val="true"/>
        <w:spacing w:lineRule="exact" w:line="590"/>
        <w:ind w:firstLineChars="200" w:startChars="0" w:start="0" w:endChars="0" w:end="0"/>
        <w:rPr>
          <w:rFonts w:ascii="Times New Roman" w:hAnsi="Times New Roman" w:eastAsia="仿宋_GB2312;仿宋" w:cs="Times New Roman"/>
          <w:color w:val="000000"/>
          <w:sz w:val="32"/>
          <w:szCs w:val="32"/>
        </w:rPr>
      </w:pPr>
      <w:r>
        <w:rPr>
          <w:rFonts w:ascii="Times New Roman" w:hAnsi="Times New Roman" w:cs="Times New Roman" w:eastAsia="黑体"/>
          <w:color w:val="000000"/>
          <w:sz w:val="32"/>
          <w:szCs w:val="32"/>
        </w:rPr>
        <w:t>第三十九条</w:t>
      </w:r>
      <w:r>
        <w:rPr>
          <w:rFonts w:ascii="Times New Roman" w:hAnsi="Times New Roman" w:cs="Times New Roman" w:eastAsia="仿宋_GB2312;仿宋"/>
          <w:color w:val="000000"/>
          <w:sz w:val="32"/>
          <w:szCs w:val="32"/>
        </w:rPr>
        <w:t>　本条例自</w:t>
      </w:r>
      <w:r>
        <w:rPr>
          <w:rFonts w:eastAsia="仿宋_GB2312;仿宋" w:cs="Times New Roman" w:ascii="Times New Roman" w:hAnsi="Times New Roman"/>
          <w:color w:val="000000"/>
          <w:sz w:val="32"/>
          <w:szCs w:val="32"/>
        </w:rPr>
        <w:t>2019</w:t>
      </w:r>
      <w:r>
        <w:rPr>
          <w:rFonts w:ascii="Times New Roman" w:hAnsi="Times New Roman" w:cs="Times New Roman" w:eastAsia="仿宋_GB2312;仿宋"/>
          <w:color w:val="000000"/>
          <w:sz w:val="32"/>
          <w:szCs w:val="32"/>
        </w:rPr>
        <w:t>年</w:t>
      </w:r>
      <w:r>
        <w:rPr>
          <w:rFonts w:eastAsia="仿宋_GB2312;仿宋" w:cs="Times New Roman" w:ascii="Times New Roman" w:hAnsi="Times New Roman"/>
          <w:color w:val="000000"/>
          <w:sz w:val="32"/>
          <w:szCs w:val="32"/>
        </w:rPr>
        <w:t>2</w:t>
      </w:r>
      <w:r>
        <w:rPr>
          <w:rFonts w:ascii="Times New Roman" w:hAnsi="Times New Roman" w:cs="Times New Roman" w:eastAsia="仿宋_GB2312;仿宋"/>
          <w:color w:val="000000"/>
          <w:sz w:val="32"/>
          <w:szCs w:val="32"/>
        </w:rPr>
        <w:t>月</w:t>
      </w:r>
      <w:r>
        <w:rPr>
          <w:rFonts w:eastAsia="仿宋_GB2312;仿宋" w:cs="Times New Roman" w:ascii="Times New Roman" w:hAnsi="Times New Roman"/>
          <w:color w:val="000000"/>
          <w:sz w:val="32"/>
          <w:szCs w:val="32"/>
        </w:rPr>
        <w:t>1</w:t>
      </w:r>
      <w:r>
        <w:rPr>
          <w:rFonts w:ascii="Times New Roman" w:hAnsi="Times New Roman" w:cs="Times New Roman" w:eastAsia="仿宋_GB2312;仿宋"/>
          <w:color w:val="000000"/>
          <w:sz w:val="32"/>
          <w:szCs w:val="32"/>
        </w:rPr>
        <w:t>日起施行。</w:t>
      </w:r>
    </w:p>
    <w:p>
      <w:pPr>
        <w:pStyle w:val="Normal"/>
        <w:keepNext w:val="false"/>
        <w:keepLines w:val="false"/>
        <w:pageBreakBefore w:val="false"/>
        <w:widowControl w:val="false"/>
        <w:kinsoku w:val="true"/>
        <w:overflowPunct w:val="true"/>
        <w:autoSpaceDE w:val="false"/>
        <w:bidi w:val="0"/>
        <w:snapToGrid w:val="true"/>
        <w:spacing w:lineRule="exact" w:line="590"/>
        <w:ind w:firstLineChars="0" w:firstLine="0" w:startChars="0" w:start="0" w:endChars="0" w:end="0"/>
        <w:rPr>
          <w:rFonts w:ascii="Times New Roman" w:hAnsi="Times New Roman" w:eastAsia="宋体" w:cs="Times New Roman"/>
          <w:color w:val="000000"/>
          <w:sz w:val="32"/>
          <w:szCs w:val="32"/>
        </w:rPr>
      </w:pPr>
      <w:r>
        <w:rPr>
          <w:rFonts w:eastAsia="宋体" w:cs="Times New Roman" w:ascii="Times New Roman" w:hAnsi="Times New Roman"/>
          <w:color w:val="000000"/>
          <w:sz w:val="32"/>
          <w:szCs w:val="32"/>
        </w:rPr>
      </w:r>
    </w:p>
    <w:p>
      <w:pPr>
        <w:pStyle w:val="Normal"/>
        <w:keepNext w:val="false"/>
        <w:keepLines w:val="false"/>
        <w:pageBreakBefore w:val="false"/>
        <w:widowControl w:val="false"/>
        <w:shd w:fill="FFFFFF" w:val="clear"/>
        <w:kinsoku w:val="true"/>
        <w:overflowPunct w:val="true"/>
        <w:bidi w:val="0"/>
        <w:snapToGrid w:val="true"/>
        <w:spacing w:lineRule="exact" w:line="590"/>
        <w:ind w:firstLineChars="200" w:startChars="0" w:start="0" w:endChars="0" w:end="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sectPr>
      <w:headerReference w:type="default" r:id="rId2"/>
      <w:headerReference w:type="first" r:id="rId3"/>
      <w:footerReference w:type="default" r:id="rId4"/>
      <w:footerReference w:type="first" r:id="rId5"/>
      <w:type w:val="nextPage"/>
      <w:pgSz w:w="11849" w:h="16781"/>
      <w:pgMar w:left="1474" w:right="1474" w:gutter="0" w:header="850" w:top="1984" w:footer="1417" w:bottom="1701"/>
      <w:pgNumType w:start="1" w:fmt="decimal"/>
      <w:formProt w:val="false"/>
      <w:titlePg/>
      <w:textDirection w:val="lrTb"/>
      <w:docGrid w:type="linesAndChars" w:linePitch="579" w:charSpace="1433"/>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黑体">
    <w:charset w:val="86"/>
    <w:family w:val="auto"/>
    <w:pitch w:val="default"/>
  </w:font>
  <w:font w:name="仿宋_GB2312">
    <w:altName w:val="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sz w:val="21"/>
      </w:rPr>
    </w:pPr>
    <w:r>
      <w:rPr>
        <w:sz w:val="21"/>
      </w:rPr>
    </w:r>
    <w:r>
      <mc:AlternateContent>
        <mc:Choice Requires="wps">
          <w:drawing>
            <wp:anchor distT="0" distB="0" distL="114935" distR="114935" simplePos="0" relativeHeight="9" behindDoc="1" locked="0" layoutInCell="0" allowOverlap="1">
              <wp:simplePos x="0" y="0"/>
              <wp:positionH relativeFrom="margin">
                <wp:align>center</wp:align>
              </wp:positionH>
              <wp:positionV relativeFrom="paragraph">
                <wp:posOffset>635</wp:posOffset>
              </wp:positionV>
              <wp:extent cx="59690" cy="140970"/>
              <wp:effectExtent l="0" t="0" r="0" b="0"/>
              <wp:wrapNone/>
              <wp:docPr id="1" name="Frame2"/>
              <a:graphic xmlns:a="http://schemas.openxmlformats.org/drawingml/2006/main">
                <a:graphicData uri="http://schemas.microsoft.com/office/word/2010/wordprocessingShape">
                  <wps:wsp>
                    <wps:cNvSpPr txBox="1"/>
                    <wps:spPr>
                      <a:xfrm>
                        <a:off x="0" y="0"/>
                        <a:ext cx="59690" cy="140970"/>
                      </a:xfrm>
                      <a:prstGeom prst="rect"/>
                      <a:solidFill>
                        <a:srgbClr val="FFFFFF">
                          <a:alpha val="0"/>
                        </a:srgbClr>
                      </a:solidFill>
                    </wps:spPr>
                    <wps:txbx>
                      <w:txbxContent>
                        <w:p>
                          <w:pPr>
                            <w:pStyle w:val="Normal"/>
                            <w:snapToGrid w:val="false"/>
                            <w:rPr>
                              <w:rFonts w:hint="eastAsia"/>
                              <w:sz w:val="18"/>
                            </w:rPr>
                          </w:pPr>
                          <w:r>
                            <w:rPr>
                              <w:rFonts w:hint="eastAsia"/>
                              <w:sz w:val="18"/>
                            </w:rPr>
                            <w:fldChar w:fldCharType="begin"/>
                          </w:r>
                          <w:r>
                            <w:rPr>
                              <w:rFonts w:hint="eastAsia"/>
                              <w:sz w:val="18"/>
                            </w:rPr>
                            <w:instrText xml:space="preserve"> PAGE </w:instrText>
                          </w:r>
                          <w:r>
                            <w:rPr>
                              <w:rFonts w:hint="eastAsia"/>
                              <w:sz w:val="18"/>
                            </w:rPr>
                            <w:fldChar w:fldCharType="separate"/>
                          </w:r>
                          <w:r>
                            <w:rPr>
                              <w:rFonts w:hint="eastAsia"/>
                              <w:sz w:val="18"/>
                            </w:rPr>
                            <w:t>9</w:t>
                          </w:r>
                          <w:r>
                            <w:rPr>
                              <w:rFonts w:hint="eastAsia"/>
                              <w:sz w:val="18"/>
                            </w:rPr>
                            <w:fldChar w:fldCharType="end"/>
                          </w:r>
                        </w:p>
                      </w:txbxContent>
                    </wps:txbx>
                    <wps:bodyPr anchor="t" lIns="635" tIns="635" rIns="635" bIns="635">
                      <a:spAutoFit/>
                    </wps:bodyPr>
                  </wps:wsp>
                </a:graphicData>
              </a:graphic>
            </wp:anchor>
          </w:drawing>
        </mc:Choice>
        <mc:Fallback>
          <w:pict>
            <v:rect fillcolor="#FFFFFF" style="position:absolute;rotation:-0;width:4.7pt;height:11.1pt;mso-wrap-distance-left:9.05pt;mso-wrap-distance-right:9.05pt;mso-wrap-distance-top:0pt;mso-wrap-distance-bottom:0pt;margin-top:0pt;mso-position-vertical-relative:text;margin-left:220.15pt;mso-position-horizontal:center;mso-position-horizontal-relative:margin">
              <v:fill opacity="0f"/>
              <v:textbox inset="0.000694444444444445in,0.000694444444444445in,0.000694444444444445in,0.000694444444444445in">
                <w:txbxContent>
                  <w:p>
                    <w:pPr>
                      <w:pStyle w:val="Normal"/>
                      <w:snapToGrid w:val="false"/>
                      <w:rPr>
                        <w:rFonts w:hint="eastAsia"/>
                        <w:sz w:val="18"/>
                      </w:rPr>
                    </w:pPr>
                    <w:r>
                      <w:rPr>
                        <w:rFonts w:hint="eastAsia"/>
                        <w:sz w:val="18"/>
                      </w:rPr>
                      <w:fldChar w:fldCharType="begin"/>
                    </w:r>
                    <w:r>
                      <w:rPr>
                        <w:rFonts w:hint="eastAsia"/>
                        <w:sz w:val="18"/>
                      </w:rPr>
                      <w:instrText xml:space="preserve"> PAGE </w:instrText>
                    </w:r>
                    <w:r>
                      <w:rPr>
                        <w:rFonts w:hint="eastAsia"/>
                        <w:sz w:val="18"/>
                      </w:rPr>
                      <w:fldChar w:fldCharType="separate"/>
                    </w:r>
                    <w:r>
                      <w:rPr>
                        <w:rFonts w:hint="eastAsia"/>
                        <w:sz w:val="18"/>
                      </w:rPr>
                      <w:t>9</w:t>
                    </w:r>
                    <w:r>
                      <w:rPr>
                        <w:rFonts w:hint="eastAsia"/>
                        <w:sz w:val="18"/>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114935" simplePos="0" relativeHeight="10" behindDoc="1" locked="0" layoutInCell="0" allowOverlap="1">
              <wp:simplePos x="0" y="0"/>
              <wp:positionH relativeFrom="margin">
                <wp:align>center</wp:align>
              </wp:positionH>
              <wp:positionV relativeFrom="paragraph">
                <wp:posOffset>635</wp:posOffset>
              </wp:positionV>
              <wp:extent cx="59690" cy="140970"/>
              <wp:effectExtent l="0" t="0" r="0" b="0"/>
              <wp:wrapNone/>
              <wp:docPr id="2" name="Frame1"/>
              <a:graphic xmlns:a="http://schemas.openxmlformats.org/drawingml/2006/main">
                <a:graphicData uri="http://schemas.microsoft.com/office/word/2010/wordprocessingShape">
                  <wps:wsp>
                    <wps:cNvSpPr txBox="1"/>
                    <wps:spPr>
                      <a:xfrm>
                        <a:off x="0" y="0"/>
                        <a:ext cx="59690" cy="140970"/>
                      </a:xfrm>
                      <a:prstGeom prst="rect"/>
                      <a:solidFill>
                        <a:srgbClr val="FFFFFF">
                          <a:alpha val="0"/>
                        </a:srgbClr>
                      </a:solidFill>
                    </wps:spPr>
                    <wps:txbx>
                      <w:txbxContent>
                        <w:p>
                          <w:pPr>
                            <w:pStyle w:val="Normal"/>
                            <w:snapToGrid w:val="false"/>
                            <w:rPr>
                              <w:rFonts w:hint="eastAsia"/>
                              <w:sz w:val="18"/>
                            </w:rPr>
                          </w:pPr>
                          <w:r>
                            <w:rPr>
                              <w:rFonts w:hint="eastAsia"/>
                              <w:sz w:val="18"/>
                            </w:rPr>
                            <w:fldChar w:fldCharType="begin"/>
                          </w:r>
                          <w:r>
                            <w:rPr>
                              <w:rFonts w:hint="eastAsia"/>
                              <w:sz w:val="18"/>
                            </w:rPr>
                            <w:instrText xml:space="preserve"> PAGE </w:instrText>
                          </w:r>
                          <w:r>
                            <w:rPr>
                              <w:rFonts w:hint="eastAsia"/>
                              <w:sz w:val="18"/>
                            </w:rPr>
                            <w:fldChar w:fldCharType="separate"/>
                          </w:r>
                          <w:r>
                            <w:rPr>
                              <w:rFonts w:hint="eastAsia"/>
                              <w:sz w:val="18"/>
                            </w:rPr>
                            <w:t>1</w:t>
                          </w:r>
                          <w:r>
                            <w:rPr>
                              <w:rFonts w:hint="eastAsia"/>
                              <w:sz w:val="18"/>
                            </w:rPr>
                            <w:fldChar w:fldCharType="end"/>
                          </w:r>
                        </w:p>
                      </w:txbxContent>
                    </wps:txbx>
                    <wps:bodyPr anchor="t" lIns="635" tIns="635" rIns="635" bIns="635">
                      <a:spAutoFit/>
                    </wps:bodyPr>
                  </wps:wsp>
                </a:graphicData>
              </a:graphic>
            </wp:anchor>
          </w:drawing>
        </mc:Choice>
        <mc:Fallback>
          <w:pict>
            <v:rect fillcolor="#FFFFFF" style="position:absolute;rotation:-0;width:4.7pt;height:11.1pt;mso-wrap-distance-left:9.05pt;mso-wrap-distance-right:9.05pt;mso-wrap-distance-top:0pt;mso-wrap-distance-bottom:0pt;margin-top:0pt;mso-position-vertical-relative:text;margin-left:220.15pt;mso-position-horizontal:center;mso-position-horizontal-relative:margin">
              <v:fill opacity="0f"/>
              <v:textbox inset="0.000694444444444445in,0.000694444444444445in,0.000694444444444445in,0.000694444444444445in">
                <w:txbxContent>
                  <w:p>
                    <w:pPr>
                      <w:pStyle w:val="Normal"/>
                      <w:snapToGrid w:val="false"/>
                      <w:rPr>
                        <w:rFonts w:hint="eastAsia"/>
                        <w:sz w:val="18"/>
                      </w:rPr>
                    </w:pPr>
                    <w:r>
                      <w:rPr>
                        <w:rFonts w:hint="eastAsia"/>
                        <w:sz w:val="18"/>
                      </w:rPr>
                      <w:fldChar w:fldCharType="begin"/>
                    </w:r>
                    <w:r>
                      <w:rPr>
                        <w:rFonts w:hint="eastAsia"/>
                        <w:sz w:val="18"/>
                      </w:rPr>
                      <w:instrText xml:space="preserve"> PAGE </w:instrText>
                    </w:r>
                    <w:r>
                      <w:rPr>
                        <w:rFonts w:hint="eastAsia"/>
                        <w:sz w:val="18"/>
                      </w:rPr>
                      <w:fldChar w:fldCharType="separate"/>
                    </w:r>
                    <w:r>
                      <w:rPr>
                        <w:rFonts w:hint="eastAsia"/>
                        <w:sz w:val="18"/>
                      </w:rPr>
                      <w:t>1</w:t>
                    </w:r>
                    <w:r>
                      <w:rPr>
                        <w:rFonts w:hint="eastAsia"/>
                        <w:sz w:val="18"/>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Calibri"/>
      <w:color w:val="auto"/>
      <w:kern w:val="2"/>
      <w:sz w:val="21"/>
      <w:szCs w:val="22"/>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jc w:val="start"/>
    </w:pPr>
    <w:rPr>
      <w:kern w:val="0"/>
      <w:sz w:val="24"/>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p0">
    <w:name w:val="p0"/>
    <w:basedOn w:val="Normal"/>
    <w:qFormat/>
    <w:pPr>
      <w:widowControl/>
    </w:pPr>
    <w:rPr>
      <w:rFonts w:cs="Calibri"/>
      <w:kern w:val="0"/>
      <w:szCs w:val="21"/>
    </w:rPr>
  </w:style>
  <w:style w:type="paragraph" w:styleId="CharCharCharCharCharCharChar">
    <w:name w:val=" Char Char Char Char Char Char Char"/>
    <w:basedOn w:val="Normal"/>
    <w:qFormat/>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2017-06-05T16:21:00Z</dcterms:created>
  <dc:creator>微软用户</dc:creator>
  <dc:description/>
  <dc:language>en-US</dc:language>
  <cp:lastModifiedBy>此生无悔</cp:lastModifiedBy>
  <cp:lastPrinted>2018-12-06T15:26:00Z</cp:lastPrinted>
  <dcterms:modified xsi:type="dcterms:W3CDTF">2019-04-02T10:48:06Z</dcterms:modified>
  <cp:revision>2</cp:revision>
  <dc:subject/>
  <dc:title>运城市四届人大常委会第四次会议文件（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2052-11.1.0.8500</vt:lpwstr>
  </property>
</Properties>
</file>