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96"/>
        <w:jc w:val="end"/>
        <w:rPr>
          <w:rFonts w:ascii="黑体" w:hAnsi="黑体" w:eastAsia="黑体" w:cs="黑体" w:hint="eastAsia"/>
          <w:sz w:val="28"/>
          <w:szCs w:val="28"/>
        </w:rPr>
      </w:pPr>
      <w:r>
        <w:rPr>
          <w:rFonts w:eastAsia="黑体" w:cs="黑体" w:hint="eastAsia" w:ascii="黑体" w:hAnsi="黑体"/>
          <w:sz w:val="28"/>
          <w:szCs w:val="28"/>
        </w:rPr>
      </w:r>
      <w:bookmarkStart w:id="0" w:name="_Hlk42070748"/>
      <w:bookmarkStart w:id="1" w:name="_Hlk42244774"/>
    </w:p>
    <w:p>
      <w:pPr>
        <w:pStyle w:val="Normal"/>
        <w:snapToGrid w:val="false"/>
        <w:spacing w:lineRule="exact" w:line="596"/>
        <w:jc w:val="end"/>
        <w:rPr>
          <w:rFonts w:ascii="黑体" w:hAnsi="黑体" w:eastAsia="黑体" w:cs="黑体" w:hint="eastAsia"/>
          <w:sz w:val="28"/>
          <w:szCs w:val="28"/>
        </w:rPr>
      </w:pPr>
      <w:r>
        <w:rPr>
          <w:rFonts w:eastAsia="黑体" w:cs="黑体" w:hint="eastAsia" w:ascii="黑体" w:hAnsi="黑体"/>
          <w:sz w:val="28"/>
          <w:szCs w:val="28"/>
        </w:rPr>
      </w:r>
    </w:p>
    <w:p>
      <w:pPr>
        <w:pStyle w:val="Normal"/>
        <w:spacing w:lineRule="exact" w:line="596"/>
        <w:jc w:val="center"/>
        <w:rPr>
          <w:rFonts w:ascii="方正小标宋简体" w:hAnsi="方正小标宋简体" w:eastAsia="方正小标宋简体" w:cs="方正小标宋简体" w:hint="eastAsia"/>
          <w:sz w:val="44"/>
          <w:szCs w:val="44"/>
        </w:rPr>
      </w:pPr>
      <w:bookmarkEnd w:id="0"/>
      <w:bookmarkEnd w:id="1"/>
      <w:r>
        <w:rPr>
          <w:rFonts w:ascii="宋体" w:hAnsi="宋体" w:cs="宋体" w:hint="eastAsia"/>
          <w:sz w:val="44"/>
          <w:szCs w:val="44"/>
        </w:rPr>
        <w:t>大同市城市市容和环境卫生管理办法</w:t>
      </w:r>
    </w:p>
    <w:p>
      <w:pPr>
        <w:pStyle w:val="Normal"/>
        <w:spacing w:lineRule="exact" w:line="596"/>
        <w:jc w:val="center"/>
        <w:rPr>
          <w:rFonts w:ascii="宋体" w:hAnsi="宋体" w:eastAsia="方正小标宋简体" w:cs="宋体" w:hint="eastAsia"/>
          <w:sz w:val="44"/>
          <w:szCs w:val="44"/>
        </w:rPr>
      </w:pPr>
      <w:r>
        <w:rPr>
          <w:rFonts w:eastAsia="方正小标宋简体" w:cs="宋体" w:hint="eastAsia" w:ascii="宋体" w:hAnsi="宋体"/>
          <w:sz w:val="44"/>
          <w:szCs w:val="44"/>
        </w:rPr>
      </w:r>
    </w:p>
    <w:p>
      <w:pPr>
        <w:pStyle w:val="Normal"/>
        <w:spacing w:lineRule="exact" w:line="596"/>
        <w:ind w:firstLineChars="200" w:startChars="0" w:start="0" w:endChars="150"/>
        <w:rPr>
          <w:rFonts w:eastAsia="楷体_GB2312;楷体" w:cs="楷体_GB2312;楷体" w:hint="eastAsia"/>
          <w:bCs/>
          <w:kern w:val="0"/>
          <w:sz w:val="32"/>
          <w:szCs w:val="32"/>
          <w:shd w:fill="FFFFFF" w:val="clear"/>
          <w:lang w:bidi="ar"/>
        </w:rPr>
      </w:pPr>
      <w:r>
        <w:rPr>
          <w:rFonts w:ascii="楷体" w:hAnsi="楷体" w:cs="方正小标宋简体" w:hint="eastAsia" w:eastAsia="楷体"/>
          <w:bCs/>
          <w:kern w:val="0"/>
          <w:sz w:val="30"/>
          <w:szCs w:val="30"/>
          <w:shd w:fill="FFFFFF" w:val="clear"/>
        </w:rPr>
        <w:t>（</w:t>
      </w:r>
      <w:r>
        <w:rPr>
          <w:rFonts w:eastAsia="楷体_GB2312;楷体"/>
          <w:bCs/>
          <w:kern w:val="0"/>
          <w:sz w:val="32"/>
          <w:szCs w:val="32"/>
          <w:shd w:fill="FFFFFF" w:val="clear"/>
          <w:lang w:bidi="ar"/>
        </w:rPr>
        <w:t>2020</w:t>
      </w:r>
      <w:r>
        <w:rPr>
          <w:rFonts w:cs="楷体_GB2312;楷体" w:hint="eastAsia" w:eastAsia="楷体_GB2312;楷体"/>
          <w:bCs/>
          <w:kern w:val="0"/>
          <w:sz w:val="32"/>
          <w:szCs w:val="32"/>
          <w:shd w:fill="FFFFFF" w:val="clear"/>
          <w:lang w:bidi="ar"/>
        </w:rPr>
        <w:t>年</w:t>
      </w:r>
      <w:r>
        <w:rPr>
          <w:rFonts w:eastAsia="楷体_GB2312;楷体"/>
          <w:bCs/>
          <w:kern w:val="0"/>
          <w:sz w:val="32"/>
          <w:szCs w:val="32"/>
          <w:shd w:fill="FFFFFF" w:val="clear"/>
          <w:lang w:bidi="ar"/>
        </w:rPr>
        <w:t>10</w:t>
      </w:r>
      <w:r>
        <w:rPr>
          <w:rFonts w:cs="楷体_GB2312;楷体" w:hint="eastAsia" w:eastAsia="楷体_GB2312;楷体"/>
          <w:bCs/>
          <w:kern w:val="0"/>
          <w:sz w:val="32"/>
          <w:szCs w:val="32"/>
          <w:shd w:fill="FFFFFF" w:val="clear"/>
          <w:lang w:bidi="ar"/>
        </w:rPr>
        <w:t>月</w:t>
      </w:r>
      <w:r>
        <w:rPr>
          <w:rFonts w:eastAsia="楷体_GB2312;楷体" w:hint="eastAsia"/>
          <w:bCs/>
          <w:kern w:val="0"/>
          <w:sz w:val="32"/>
          <w:szCs w:val="32"/>
          <w:shd w:fill="FFFFFF" w:val="clear"/>
          <w:lang w:bidi="ar"/>
        </w:rPr>
        <w:t>30</w:t>
      </w:r>
      <w:r>
        <w:rPr>
          <w:rFonts w:cs="楷体_GB2312;楷体" w:hint="eastAsia" w:eastAsia="楷体_GB2312;楷体"/>
          <w:bCs/>
          <w:kern w:val="0"/>
          <w:sz w:val="32"/>
          <w:szCs w:val="32"/>
          <w:shd w:fill="FFFFFF" w:val="clear"/>
          <w:lang w:bidi="ar"/>
        </w:rPr>
        <w:t>日大同市第十五届人民代表大会</w:t>
      </w:r>
    </w:p>
    <w:p>
      <w:pPr>
        <w:pStyle w:val="Normal"/>
        <w:spacing w:lineRule="exact" w:line="596"/>
        <w:ind w:firstLineChars="200" w:startChars="0" w:start="0" w:endChars="150"/>
        <w:rPr>
          <w:rFonts w:eastAsia="楷体_GB2312;楷体" w:cs="楷体_GB2312;楷体" w:hint="eastAsia"/>
          <w:bCs/>
          <w:kern w:val="0"/>
          <w:sz w:val="32"/>
          <w:szCs w:val="32"/>
          <w:shd w:fill="FFFFFF" w:val="clear"/>
          <w:lang w:bidi="ar"/>
        </w:rPr>
      </w:pPr>
      <w:r>
        <w:rPr>
          <w:rFonts w:cs="楷体_GB2312;楷体" w:hint="eastAsia" w:eastAsia="楷体_GB2312;楷体"/>
          <w:bCs/>
          <w:kern w:val="0"/>
          <w:sz w:val="32"/>
          <w:szCs w:val="32"/>
          <w:shd w:fill="FFFFFF" w:val="clear"/>
          <w:lang w:bidi="ar"/>
        </w:rPr>
        <w:t xml:space="preserve">常务委员会第三十四次会议通过 </w:t>
      </w:r>
      <w:r>
        <w:rPr>
          <w:rFonts w:eastAsia="楷体_GB2312;楷体" w:cs="楷体_GB2312;楷体" w:hint="eastAsia"/>
          <w:bCs/>
          <w:kern w:val="0"/>
          <w:sz w:val="32"/>
          <w:szCs w:val="32"/>
          <w:shd w:fill="FFFFFF" w:val="clear"/>
          <w:lang w:bidi="ar"/>
        </w:rPr>
        <w:t>2021</w:t>
      </w:r>
      <w:r>
        <w:rPr>
          <w:rFonts w:cs="楷体_GB2312;楷体" w:hint="eastAsia" w:eastAsia="楷体_GB2312;楷体"/>
          <w:bCs/>
          <w:kern w:val="0"/>
          <w:sz w:val="32"/>
          <w:szCs w:val="32"/>
          <w:shd w:fill="FFFFFF" w:val="clear"/>
          <w:lang w:bidi="ar"/>
        </w:rPr>
        <w:t>年</w:t>
      </w:r>
      <w:r>
        <w:rPr>
          <w:rFonts w:eastAsia="楷体_GB2312;楷体" w:cs="楷体_GB2312;楷体" w:hint="eastAsia"/>
          <w:bCs/>
          <w:kern w:val="0"/>
          <w:sz w:val="32"/>
          <w:szCs w:val="32"/>
          <w:shd w:fill="FFFFFF" w:val="clear"/>
          <w:lang w:bidi="ar"/>
        </w:rPr>
        <w:t>1</w:t>
      </w:r>
      <w:r>
        <w:rPr>
          <w:rFonts w:cs="楷体_GB2312;楷体" w:hint="eastAsia" w:eastAsia="楷体_GB2312;楷体"/>
          <w:bCs/>
          <w:kern w:val="0"/>
          <w:sz w:val="32"/>
          <w:szCs w:val="32"/>
          <w:shd w:fill="FFFFFF" w:val="clear"/>
          <w:lang w:bidi="ar"/>
        </w:rPr>
        <w:t>月</w:t>
      </w:r>
      <w:r>
        <w:rPr>
          <w:rFonts w:eastAsia="楷体_GB2312;楷体" w:cs="楷体_GB2312;楷体" w:hint="eastAsia"/>
          <w:bCs/>
          <w:kern w:val="0"/>
          <w:sz w:val="32"/>
          <w:szCs w:val="32"/>
          <w:shd w:fill="FFFFFF" w:val="clear"/>
          <w:lang w:bidi="ar"/>
        </w:rPr>
        <w:t>15</w:t>
      </w:r>
      <w:r>
        <w:rPr>
          <w:rFonts w:cs="楷体_GB2312;楷体" w:hint="eastAsia" w:eastAsia="楷体_GB2312;楷体"/>
          <w:bCs/>
          <w:kern w:val="0"/>
          <w:sz w:val="32"/>
          <w:szCs w:val="32"/>
          <w:shd w:fill="FFFFFF" w:val="clear"/>
          <w:lang w:bidi="ar"/>
        </w:rPr>
        <w:t>日</w:t>
      </w:r>
    </w:p>
    <w:p>
      <w:pPr>
        <w:pStyle w:val="Normal"/>
        <w:spacing w:lineRule="exact" w:line="596"/>
        <w:ind w:firstLineChars="200" w:startChars="0" w:start="0" w:endChars="150"/>
        <w:rPr>
          <w:rFonts w:eastAsia="楷体_GB2312;楷体" w:cs="楷体_GB2312;楷体" w:hint="eastAsia"/>
          <w:bCs/>
          <w:kern w:val="0"/>
          <w:sz w:val="32"/>
          <w:szCs w:val="32"/>
          <w:shd w:fill="FFFFFF" w:val="clear"/>
          <w:lang w:bidi="ar"/>
        </w:rPr>
      </w:pPr>
      <w:r>
        <w:rPr>
          <w:rFonts w:cs="楷体_GB2312;楷体" w:hint="eastAsia" w:eastAsia="楷体_GB2312;楷体"/>
          <w:bCs/>
          <w:kern w:val="0"/>
          <w:sz w:val="32"/>
          <w:szCs w:val="32"/>
          <w:shd w:fill="FFFFFF" w:val="clear"/>
          <w:lang w:bidi="ar"/>
        </w:rPr>
        <w:t>山西省第十三届人民代表大会常务委员会第二十二</w:t>
      </w:r>
    </w:p>
    <w:p>
      <w:pPr>
        <w:pStyle w:val="Normal"/>
        <w:spacing w:lineRule="exact" w:line="596"/>
        <w:ind w:firstLineChars="200" w:startChars="0" w:start="0" w:endChars="150"/>
        <w:rPr>
          <w:rFonts w:ascii="宋体" w:hAnsi="宋体" w:cs="宋体"/>
          <w:kern w:val="0"/>
          <w:sz w:val="32"/>
          <w:szCs w:val="32"/>
          <w:shd w:fill="FFFFFF" w:val="clear"/>
        </w:rPr>
      </w:pPr>
      <w:r>
        <w:rPr>
          <w:rFonts w:cs="楷体_GB2312;楷体" w:hint="eastAsia" w:eastAsia="楷体_GB2312;楷体"/>
          <w:bCs/>
          <w:kern w:val="0"/>
          <w:sz w:val="32"/>
          <w:szCs w:val="32"/>
          <w:shd w:fill="FFFFFF" w:val="clear"/>
          <w:lang w:bidi="ar"/>
        </w:rPr>
        <w:t>次会议批准</w:t>
      </w:r>
      <w:r>
        <w:rPr>
          <w:rFonts w:ascii="楷体" w:hAnsi="楷体" w:cs="方正小标宋简体" w:hint="eastAsia" w:eastAsia="楷体"/>
          <w:bCs/>
          <w:kern w:val="0"/>
          <w:sz w:val="30"/>
          <w:szCs w:val="30"/>
          <w:shd w:fill="FFFFFF" w:val="clear"/>
        </w:rPr>
        <w:t>）</w:t>
      </w:r>
    </w:p>
    <w:p>
      <w:pPr>
        <w:pStyle w:val="Normal"/>
        <w:spacing w:lineRule="exact" w:line="596"/>
        <w:rPr>
          <w:rFonts w:ascii="楷体_GB2312;楷体" w:hAnsi="楷体_GB2312;楷体" w:eastAsia="楷体_GB2312;楷体" w:cs="宋体" w:hint="eastAsia"/>
          <w:b/>
          <w:bCs/>
          <w:kern w:val="0"/>
          <w:sz w:val="32"/>
          <w:szCs w:val="32"/>
          <w:shd w:fill="FFFFFF" w:val="clear"/>
        </w:rPr>
      </w:pPr>
      <w:r>
        <w:rPr>
          <w:rFonts w:eastAsia="楷体_GB2312;楷体" w:cs="宋体" w:hint="eastAsia" w:ascii="楷体_GB2312;楷体" w:hAnsi="楷体_GB2312;楷体"/>
          <w:b/>
          <w:bCs/>
          <w:kern w:val="0"/>
          <w:sz w:val="32"/>
          <w:szCs w:val="32"/>
          <w:shd w:fill="FFFFFF" w:val="clear"/>
        </w:rPr>
      </w:r>
    </w:p>
    <w:p>
      <w:pPr>
        <w:pStyle w:val="Normal"/>
        <w:spacing w:lineRule="exact" w:line="596"/>
        <w:jc w:val="center"/>
        <w:rPr>
          <w:rFonts w:ascii="黑体" w:hAnsi="黑体" w:eastAsia="黑体" w:cs="黑体" w:hint="eastAsia"/>
          <w:bCs/>
          <w:sz w:val="32"/>
          <w:szCs w:val="32"/>
        </w:rPr>
      </w:pPr>
      <w:r>
        <w:rPr>
          <w:rFonts w:ascii="黑体" w:hAnsi="黑体" w:cs="黑体" w:hint="eastAsia" w:eastAsia="黑体"/>
          <w:bCs/>
          <w:sz w:val="32"/>
          <w:szCs w:val="32"/>
        </w:rPr>
        <w:t>目    录</w:t>
      </w:r>
    </w:p>
    <w:p>
      <w:pPr>
        <w:pStyle w:val="Normal"/>
        <w:spacing w:lineRule="exact" w:line="596"/>
        <w:rPr>
          <w:rFonts w:ascii="楷体_GB2312;楷体" w:hAnsi="楷体_GB2312;楷体" w:eastAsia="楷体_GB2312;楷体" w:cs="黑体" w:hint="eastAsia"/>
          <w:bCs/>
          <w:sz w:val="32"/>
          <w:szCs w:val="32"/>
        </w:rPr>
      </w:pPr>
      <w:r>
        <w:rPr>
          <w:rFonts w:eastAsia="楷体_GB2312;楷体" w:cs="黑体" w:hint="eastAsia" w:ascii="楷体_GB2312;楷体" w:hAnsi="楷体_GB2312;楷体"/>
          <w:bCs/>
          <w:sz w:val="32"/>
          <w:szCs w:val="32"/>
        </w:rPr>
      </w:r>
    </w:p>
    <w:p>
      <w:pPr>
        <w:pStyle w:val="Normal"/>
        <w:spacing w:lineRule="exact" w:line="596"/>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第一章  总则</w:t>
      </w:r>
    </w:p>
    <w:p>
      <w:pPr>
        <w:pStyle w:val="Normal"/>
        <w:spacing w:lineRule="exact" w:line="596"/>
        <w:ind w:firstLineChars="200" w:startChars="0" w:start="0" w:endChars="0" w:end="0"/>
        <w:rPr>
          <w:rFonts w:ascii="楷体_GB2312;楷体" w:hAnsi="楷体_GB2312;楷体" w:eastAsia="楷体_GB2312;楷体" w:hint="eastAsia"/>
          <w:b/>
          <w:bCs/>
          <w:sz w:val="32"/>
          <w:szCs w:val="32"/>
        </w:rPr>
      </w:pPr>
      <w:r>
        <w:rPr>
          <w:rFonts w:ascii="楷体_GB2312;楷体" w:hAnsi="楷体_GB2312;楷体" w:hint="eastAsia" w:eastAsia="楷体_GB2312;楷体"/>
          <w:sz w:val="32"/>
          <w:szCs w:val="32"/>
        </w:rPr>
        <w:t>第二章  市容市貌</w:t>
      </w:r>
    </w:p>
    <w:p>
      <w:pPr>
        <w:pStyle w:val="Normal"/>
        <w:spacing w:lineRule="exact" w:line="596"/>
        <w:ind w:firstLineChars="200" w:startChars="0" w:start="0" w:endChars="0" w:end="0"/>
        <w:rPr>
          <w:rFonts w:ascii="楷体_GB2312;楷体" w:hAnsi="楷体_GB2312;楷体" w:eastAsia="楷体_GB2312;楷体" w:hint="eastAsia"/>
          <w:b/>
          <w:bCs/>
          <w:sz w:val="32"/>
          <w:szCs w:val="32"/>
        </w:rPr>
      </w:pPr>
      <w:r>
        <w:rPr>
          <w:rFonts w:ascii="楷体_GB2312;楷体" w:hAnsi="楷体_GB2312;楷体" w:hint="eastAsia" w:eastAsia="楷体_GB2312;楷体"/>
          <w:sz w:val="32"/>
          <w:szCs w:val="32"/>
        </w:rPr>
        <w:t>第三章  环境卫生</w:t>
      </w:r>
    </w:p>
    <w:p>
      <w:pPr>
        <w:pStyle w:val="Normal"/>
        <w:spacing w:lineRule="exact" w:line="596"/>
        <w:ind w:firstLineChars="200" w:startChars="0" w:start="0" w:endChars="0" w:end="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第四章  法律责任</w:t>
      </w:r>
    </w:p>
    <w:p>
      <w:pPr>
        <w:pStyle w:val="Normal"/>
        <w:spacing w:lineRule="exact" w:line="596"/>
        <w:ind w:firstLineChars="200" w:startChars="0" w:start="0" w:endChars="0" w:end="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第五章  附则</w:t>
      </w:r>
    </w:p>
    <w:p>
      <w:pPr>
        <w:pStyle w:val="Normal"/>
        <w:spacing w:lineRule="exact" w:line="596"/>
        <w:jc w:val="center"/>
        <w:rPr>
          <w:rFonts w:ascii="楷体_GB2312;楷体" w:hAnsi="楷体_GB2312;楷体" w:eastAsia="黑体" w:hint="eastAsia"/>
          <w:sz w:val="32"/>
          <w:szCs w:val="32"/>
        </w:rPr>
      </w:pPr>
      <w:r>
        <w:rPr>
          <w:rFonts w:eastAsia="黑体" w:hint="eastAsia" w:ascii="楷体_GB2312;楷体" w:hAnsi="楷体_GB2312;楷体"/>
          <w:sz w:val="32"/>
          <w:szCs w:val="32"/>
        </w:rPr>
      </w:r>
    </w:p>
    <w:p>
      <w:pPr>
        <w:pStyle w:val="Normal"/>
        <w:tabs>
          <w:tab w:val="clear" w:pos="420"/>
          <w:tab w:val="center" w:pos="4426" w:leader="none"/>
          <w:tab w:val="left" w:pos="6658" w:leader="none"/>
        </w:tabs>
        <w:spacing w:lineRule="exact" w:line="596"/>
        <w:jc w:val="start"/>
        <w:rPr>
          <w:rFonts w:eastAsia="黑体" w:hint="eastAsia"/>
          <w:sz w:val="32"/>
          <w:szCs w:val="32"/>
        </w:rPr>
      </w:pPr>
      <w:r>
        <w:rPr>
          <w:rFonts w:eastAsia="黑体" w:hint="eastAsia"/>
          <w:sz w:val="32"/>
          <w:szCs w:val="32"/>
        </w:rPr>
        <w:tab/>
      </w:r>
      <w:r>
        <w:rPr>
          <w:rFonts w:eastAsia="黑体"/>
          <w:sz w:val="32"/>
          <w:szCs w:val="32"/>
        </w:rPr>
        <w:t>第一章</w:t>
      </w:r>
      <w:r>
        <w:rPr>
          <w:rFonts w:hint="eastAsia" w:eastAsia="黑体"/>
          <w:sz w:val="32"/>
          <w:szCs w:val="32"/>
        </w:rPr>
        <w:t xml:space="preserve">  </w:t>
      </w:r>
      <w:r>
        <w:rPr>
          <w:rFonts w:eastAsia="黑体"/>
          <w:sz w:val="32"/>
          <w:szCs w:val="32"/>
        </w:rPr>
        <w:t>总</w:t>
      </w:r>
      <w:r>
        <w:rPr>
          <w:rFonts w:hint="eastAsia" w:eastAsia="黑体"/>
          <w:sz w:val="32"/>
          <w:szCs w:val="32"/>
        </w:rPr>
        <w:t xml:space="preserve">  </w:t>
      </w:r>
      <w:r>
        <w:rPr>
          <w:rFonts w:eastAsia="黑体"/>
          <w:sz w:val="32"/>
          <w:szCs w:val="32"/>
        </w:rPr>
        <w:t>则</w:t>
      </w:r>
      <w:r>
        <w:rPr>
          <w:rFonts w:eastAsia="黑体" w:hint="eastAsia"/>
          <w:sz w:val="32"/>
          <w:szCs w:val="32"/>
        </w:rPr>
        <w:tab/>
      </w:r>
    </w:p>
    <w:p>
      <w:pPr>
        <w:pStyle w:val="Normal"/>
        <w:spacing w:lineRule="exact" w:line="596"/>
        <w:ind w:firstLineChars="200" w:startChars="0" w:start="0" w:endChars="0" w:end="0"/>
        <w:rPr>
          <w:rFonts w:eastAsia="仿宋_GB2312;仿宋" w:hint="eastAsia"/>
          <w:sz w:val="32"/>
          <w:szCs w:val="32"/>
        </w:rPr>
      </w:pPr>
      <w:r>
        <w:rPr>
          <w:rFonts w:eastAsia="仿宋_GB2312;仿宋" w:hint="eastAsia"/>
          <w:sz w:val="32"/>
          <w:szCs w:val="32"/>
        </w:rPr>
      </w:r>
    </w:p>
    <w:p>
      <w:pPr>
        <w:pStyle w:val="Normal"/>
        <w:spacing w:lineRule="exact" w:line="596"/>
        <w:ind w:firstLineChars="200" w:startChars="0" w:start="0" w:endChars="0" w:end="0"/>
        <w:rPr>
          <w:rFonts w:eastAsia="仿宋_GB2312;仿宋"/>
          <w:sz w:val="32"/>
          <w:szCs w:val="32"/>
        </w:rPr>
      </w:pPr>
      <w:r>
        <w:rPr>
          <w:rFonts w:eastAsia="黑体"/>
          <w:sz w:val="32"/>
          <w:szCs w:val="32"/>
        </w:rPr>
        <w:t>第一条</w:t>
      </w:r>
      <w:r>
        <w:rPr>
          <w:rFonts w:eastAsia="仿宋_GB2312;仿宋"/>
          <w:sz w:val="32"/>
          <w:szCs w:val="32"/>
        </w:rPr>
        <w:t xml:space="preserve">  为</w:t>
      </w:r>
      <w:r>
        <w:rPr>
          <w:rFonts w:hint="eastAsia" w:eastAsia="仿宋_GB2312;仿宋"/>
          <w:sz w:val="32"/>
          <w:szCs w:val="32"/>
        </w:rPr>
        <w:t>了</w:t>
      </w:r>
      <w:r>
        <w:rPr>
          <w:rFonts w:eastAsia="仿宋_GB2312;仿宋"/>
          <w:sz w:val="32"/>
          <w:szCs w:val="32"/>
        </w:rPr>
        <w:t>加强城市市容和环境卫生管理，创造整洁、优美、文明、宜居的城市环境，根据相关法律、法规，结合本市实际，制定本办法。</w:t>
      </w:r>
    </w:p>
    <w:p>
      <w:pPr>
        <w:pStyle w:val="Normal"/>
        <w:spacing w:lineRule="exact" w:line="596"/>
        <w:ind w:firstLineChars="200" w:startChars="0" w:start="0" w:endChars="0" w:end="0"/>
        <w:rPr>
          <w:rFonts w:eastAsia="仿宋_GB2312;仿宋"/>
          <w:sz w:val="32"/>
          <w:szCs w:val="32"/>
        </w:rPr>
      </w:pPr>
      <w:r>
        <w:rPr>
          <w:rFonts w:eastAsia="黑体"/>
          <w:sz w:val="32"/>
          <w:szCs w:val="32"/>
        </w:rPr>
        <w:t>第二条</w:t>
      </w:r>
      <w:r>
        <w:rPr>
          <w:rFonts w:eastAsia="仿宋_GB2312;仿宋"/>
          <w:sz w:val="32"/>
          <w:szCs w:val="32"/>
        </w:rPr>
        <w:t xml:space="preserve">  本市城市规划区和其他实行城市化管理</w:t>
      </w:r>
      <w:r>
        <w:rPr>
          <w:rFonts w:hint="eastAsia" w:eastAsia="仿宋_GB2312;仿宋"/>
          <w:sz w:val="32"/>
          <w:szCs w:val="32"/>
        </w:rPr>
        <w:t>的区域的</w:t>
      </w:r>
      <w:r>
        <w:rPr>
          <w:rFonts w:eastAsia="仿宋_GB2312;仿宋"/>
          <w:sz w:val="32"/>
          <w:szCs w:val="32"/>
        </w:rPr>
        <w:t>市容和环境卫生管理活动，适用本办法。</w:t>
      </w:r>
    </w:p>
    <w:p>
      <w:pPr>
        <w:pStyle w:val="Normal"/>
        <w:spacing w:lineRule="exact" w:line="596"/>
        <w:ind w:firstLineChars="200" w:startChars="0" w:start="0" w:endChars="0" w:end="0"/>
        <w:rPr>
          <w:rFonts w:eastAsia="仿宋_GB2312;仿宋"/>
          <w:sz w:val="32"/>
          <w:szCs w:val="32"/>
        </w:rPr>
      </w:pPr>
      <w:r>
        <w:rPr>
          <w:rFonts w:eastAsia="黑体"/>
          <w:sz w:val="32"/>
          <w:szCs w:val="32"/>
        </w:rPr>
        <w:t>第三条</w:t>
      </w:r>
      <w:r>
        <w:rPr>
          <w:rFonts w:eastAsia="仿宋_GB2312;仿宋"/>
          <w:sz w:val="32"/>
          <w:szCs w:val="32"/>
        </w:rPr>
        <w:t xml:space="preserve">  城市市容和环境卫生管理工作实行统一领导、分级负责、属地管理、公众参与、社会监督的原则，实行科学化、精细化、智能化、市场化管理。</w:t>
      </w:r>
    </w:p>
    <w:p>
      <w:pPr>
        <w:pStyle w:val="Normal"/>
        <w:spacing w:lineRule="exact" w:line="596"/>
        <w:ind w:firstLineChars="200" w:startChars="0" w:start="0" w:endChars="0" w:end="0"/>
        <w:rPr>
          <w:rFonts w:eastAsia="仿宋_GB2312;仿宋"/>
          <w:sz w:val="32"/>
          <w:szCs w:val="32"/>
        </w:rPr>
      </w:pPr>
      <w:r>
        <w:rPr>
          <w:rFonts w:eastAsia="黑体"/>
          <w:sz w:val="32"/>
          <w:szCs w:val="32"/>
        </w:rPr>
        <w:t xml:space="preserve">第四条  </w:t>
      </w:r>
      <w:r>
        <w:rPr>
          <w:rFonts w:eastAsia="仿宋_GB2312;仿宋"/>
          <w:sz w:val="32"/>
          <w:szCs w:val="32"/>
        </w:rPr>
        <w:t>市人民政府城市市容和环境卫生主管部门负责本市行政区域内的城市市容和环境卫生管理工作。其主要职责是：</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（一）组织实施有关城市市容和环境卫生工作的法律、法规和政策；</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（二）对市容和环境卫生进行指导、监督、考核；</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（三）对城市环境卫生设施建设统一规划</w:t>
      </w:r>
      <w:r>
        <w:rPr>
          <w:rFonts w:hint="eastAsia"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县（区）人民政府城市市容和环境卫生主管部门负责本行政区域的</w:t>
      </w:r>
      <w:r>
        <w:rPr>
          <w:rFonts w:hint="eastAsia" w:eastAsia="仿宋_GB2312;仿宋"/>
          <w:sz w:val="32"/>
          <w:szCs w:val="32"/>
        </w:rPr>
        <w:t>城市</w:t>
      </w:r>
      <w:r>
        <w:rPr>
          <w:rFonts w:eastAsia="仿宋_GB2312;仿宋"/>
          <w:sz w:val="32"/>
          <w:szCs w:val="32"/>
        </w:rPr>
        <w:t>市容和环境卫生管理工作。</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规划和自然资源、住房和城乡建设、生态环境、公安、交通</w:t>
      </w:r>
      <w:r>
        <w:rPr>
          <w:rFonts w:hint="eastAsia" w:eastAsia="仿宋_GB2312;仿宋"/>
          <w:sz w:val="32"/>
          <w:szCs w:val="32"/>
        </w:rPr>
        <w:t>运输</w:t>
      </w:r>
      <w:r>
        <w:rPr>
          <w:rFonts w:eastAsia="仿宋_GB2312;仿宋"/>
          <w:sz w:val="32"/>
          <w:szCs w:val="32"/>
        </w:rPr>
        <w:t>、文化旅游、文物、商务、市场监管等部门按照各自职责，配合做好城市市容和环境卫生管理工作。</w:t>
      </w:r>
    </w:p>
    <w:p>
      <w:pPr>
        <w:pStyle w:val="Normal"/>
        <w:spacing w:lineRule="exact" w:line="596"/>
        <w:ind w:firstLineChars="200" w:startChars="0" w:start="0" w:endChars="0" w:end="0"/>
        <w:rPr>
          <w:rFonts w:eastAsia="仿宋_GB2312;仿宋"/>
          <w:sz w:val="32"/>
          <w:szCs w:val="32"/>
        </w:rPr>
      </w:pPr>
      <w:r>
        <w:rPr>
          <w:rFonts w:eastAsia="黑体"/>
          <w:sz w:val="32"/>
          <w:szCs w:val="32"/>
        </w:rPr>
        <w:t>第五条</w:t>
      </w:r>
      <w:r>
        <w:rPr>
          <w:rFonts w:eastAsia="仿宋_GB2312;仿宋"/>
          <w:sz w:val="32"/>
          <w:szCs w:val="32"/>
        </w:rPr>
        <w:t>　城市市容和环境卫生管理所需经费由市、县（区）人民政府予以</w:t>
      </w:r>
      <w:r>
        <w:rPr>
          <w:rFonts w:hint="eastAsia" w:eastAsia="仿宋_GB2312;仿宋"/>
          <w:sz w:val="32"/>
          <w:szCs w:val="32"/>
        </w:rPr>
        <w:t>保障</w:t>
      </w:r>
      <w:r>
        <w:rPr>
          <w:rFonts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黑体"/>
          <w:sz w:val="32"/>
          <w:szCs w:val="32"/>
        </w:rPr>
        <w:t>第六条</w:t>
      </w:r>
      <w:r>
        <w:rPr>
          <w:rFonts w:eastAsia="仿宋_GB2312;仿宋"/>
          <w:sz w:val="32"/>
          <w:szCs w:val="32"/>
        </w:rPr>
        <w:t xml:space="preserve">  市、县（区）人民政府</w:t>
      </w:r>
      <w:r>
        <w:rPr>
          <w:rFonts w:hint="eastAsia" w:eastAsia="仿宋_GB2312;仿宋"/>
          <w:sz w:val="32"/>
          <w:szCs w:val="32"/>
        </w:rPr>
        <w:t>及其</w:t>
      </w:r>
      <w:r>
        <w:rPr>
          <w:rFonts w:eastAsia="仿宋_GB2312;仿宋"/>
          <w:sz w:val="32"/>
          <w:szCs w:val="32"/>
        </w:rPr>
        <w:t>城市市容和环境卫生主管部门</w:t>
      </w:r>
      <w:r>
        <w:rPr>
          <w:rFonts w:hint="eastAsia" w:eastAsia="仿宋_GB2312;仿宋"/>
          <w:sz w:val="32"/>
          <w:szCs w:val="32"/>
        </w:rPr>
        <w:t>、学校、新闻媒体等</w:t>
      </w:r>
      <w:r>
        <w:rPr>
          <w:rFonts w:eastAsia="仿宋_GB2312;仿宋"/>
          <w:sz w:val="32"/>
          <w:szCs w:val="32"/>
        </w:rPr>
        <w:t>应当加强城市市容和环境卫生法律法规和科学知识的宣传教育，提高公</w:t>
      </w:r>
      <w:r>
        <w:rPr>
          <w:rFonts w:hint="eastAsia" w:eastAsia="仿宋_GB2312;仿宋"/>
          <w:sz w:val="32"/>
          <w:szCs w:val="32"/>
        </w:rPr>
        <w:t>众</w:t>
      </w:r>
      <w:r>
        <w:rPr>
          <w:rFonts w:eastAsia="仿宋_GB2312;仿宋"/>
          <w:sz w:val="32"/>
          <w:szCs w:val="32"/>
        </w:rPr>
        <w:t>的环境卫生意识，养成良好的卫生习惯。</w:t>
      </w:r>
      <w:r>
        <w:rPr>
          <w:rFonts w:eastAsia="仿宋_GB2312;仿宋"/>
          <w:b/>
          <w:sz w:val="32"/>
          <w:szCs w:val="32"/>
        </w:rPr>
        <w:t xml:space="preserve"> </w:t>
      </w:r>
    </w:p>
    <w:p>
      <w:pPr>
        <w:pStyle w:val="Normal"/>
        <w:spacing w:lineRule="exact" w:line="596"/>
        <w:ind w:firstLineChars="200" w:startChars="0" w:start="0" w:endChars="0" w:end="0"/>
        <w:rPr>
          <w:rFonts w:eastAsia="仿宋_GB2312;仿宋" w:hint="eastAsia"/>
          <w:sz w:val="32"/>
          <w:szCs w:val="32"/>
        </w:rPr>
      </w:pPr>
      <w:r>
        <w:rPr>
          <w:rFonts w:eastAsia="黑体"/>
          <w:sz w:val="32"/>
          <w:szCs w:val="32"/>
        </w:rPr>
        <w:t>第七条</w:t>
      </w:r>
      <w:r>
        <w:rPr>
          <w:rFonts w:eastAsia="仿宋_GB2312;仿宋"/>
          <w:sz w:val="32"/>
          <w:szCs w:val="32"/>
        </w:rPr>
        <w:t xml:space="preserve">  任何单位和个人依法享有整洁优美的市容环境，对损害市容和环境卫生的行为有权劝阻和举报</w:t>
      </w:r>
      <w:r>
        <w:rPr>
          <w:rFonts w:hint="eastAsia" w:eastAsia="仿宋_GB2312;仿宋"/>
          <w:sz w:val="32"/>
          <w:szCs w:val="32"/>
        </w:rPr>
        <w:t>。</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任何单位和个人</w:t>
      </w:r>
      <w:r>
        <w:rPr>
          <w:rFonts w:hint="eastAsia" w:eastAsia="仿宋_GB2312;仿宋"/>
          <w:sz w:val="32"/>
          <w:szCs w:val="32"/>
        </w:rPr>
        <w:t>都应当尊重城市市容和环境卫生工作人员的劳动，不得妨碍、阻挠其工作。</w:t>
      </w:r>
    </w:p>
    <w:p>
      <w:pPr>
        <w:pStyle w:val="Normal"/>
        <w:spacing w:lineRule="exact" w:line="596"/>
        <w:ind w:firstLineChars="200" w:startChars="0" w:start="0" w:endChars="0" w:end="0"/>
        <w:rPr>
          <w:rFonts w:eastAsia="仿宋_GB2312;仿宋" w:hint="eastAsia"/>
          <w:sz w:val="32"/>
          <w:szCs w:val="32"/>
        </w:rPr>
      </w:pPr>
      <w:r>
        <w:rPr>
          <w:rFonts w:eastAsia="仿宋_GB2312;仿宋" w:hint="eastAsia"/>
          <w:sz w:val="32"/>
          <w:szCs w:val="32"/>
        </w:rPr>
      </w:r>
    </w:p>
    <w:p>
      <w:pPr>
        <w:pStyle w:val="Normal"/>
        <w:spacing w:lineRule="exact" w:line="596"/>
        <w:jc w:val="center"/>
        <w:rPr>
          <w:rFonts w:eastAsia="仿宋_GB2312;仿宋"/>
          <w:b/>
          <w:bCs/>
          <w:sz w:val="32"/>
          <w:szCs w:val="32"/>
        </w:rPr>
      </w:pPr>
      <w:r>
        <w:rPr>
          <w:rFonts w:eastAsia="黑体"/>
          <w:sz w:val="32"/>
          <w:szCs w:val="32"/>
        </w:rPr>
        <w:t>第二章</w:t>
      </w:r>
      <w:r>
        <w:rPr>
          <w:rFonts w:hint="eastAsia" w:eastAsia="黑体"/>
          <w:sz w:val="32"/>
          <w:szCs w:val="32"/>
        </w:rPr>
        <w:t xml:space="preserve">  </w:t>
      </w:r>
      <w:r>
        <w:rPr>
          <w:rFonts w:eastAsia="黑体"/>
          <w:sz w:val="32"/>
          <w:szCs w:val="32"/>
        </w:rPr>
        <w:t>市容市貌</w:t>
      </w:r>
    </w:p>
    <w:p>
      <w:pPr>
        <w:pStyle w:val="Normal"/>
        <w:spacing w:lineRule="exact" w:line="596"/>
        <w:ind w:firstLineChars="200" w:startChars="0" w:start="0" w:endChars="0" w:end="0"/>
        <w:rPr>
          <w:rFonts w:eastAsia="仿宋_GB2312;仿宋"/>
          <w:b/>
          <w:bCs/>
          <w:sz w:val="32"/>
          <w:szCs w:val="32"/>
        </w:rPr>
      </w:pPr>
      <w:r>
        <w:rPr>
          <w:rFonts w:eastAsia="仿宋_GB2312;仿宋"/>
          <w:b/>
          <w:bCs/>
          <w:sz w:val="32"/>
          <w:szCs w:val="32"/>
        </w:rPr>
      </w:r>
    </w:p>
    <w:p>
      <w:pPr>
        <w:pStyle w:val="Normal"/>
        <w:spacing w:lineRule="exact" w:line="596"/>
        <w:ind w:firstLineChars="200" w:startChars="0" w:start="0" w:endChars="0" w:end="0"/>
        <w:rPr>
          <w:rFonts w:eastAsia="仿宋_GB2312;仿宋"/>
          <w:sz w:val="32"/>
          <w:szCs w:val="32"/>
        </w:rPr>
      </w:pPr>
      <w:r>
        <w:rPr>
          <w:rFonts w:eastAsia="黑体"/>
          <w:sz w:val="32"/>
          <w:szCs w:val="32"/>
        </w:rPr>
        <w:t>第八条</w:t>
      </w:r>
      <w:r>
        <w:rPr>
          <w:rFonts w:hint="eastAsia" w:eastAsia="黑体"/>
          <w:sz w:val="32"/>
          <w:szCs w:val="32"/>
        </w:rPr>
        <w:t xml:space="preserve">  </w:t>
      </w:r>
      <w:r>
        <w:rPr>
          <w:rFonts w:hint="eastAsia" w:eastAsia="仿宋_GB2312;仿宋"/>
          <w:sz w:val="32"/>
          <w:szCs w:val="32"/>
        </w:rPr>
        <w:t>建筑物、构筑物</w:t>
      </w:r>
      <w:r>
        <w:rPr>
          <w:rFonts w:eastAsia="仿宋_GB2312;仿宋"/>
          <w:sz w:val="32"/>
          <w:szCs w:val="32"/>
        </w:rPr>
        <w:t>的容貌应当符合以下规定：</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（一）</w:t>
      </w:r>
      <w:r>
        <w:rPr>
          <w:rFonts w:hint="eastAsia" w:eastAsia="仿宋_GB2312;仿宋"/>
          <w:sz w:val="32"/>
          <w:szCs w:val="32"/>
        </w:rPr>
        <w:t>建筑物、构筑物</w:t>
      </w:r>
      <w:r>
        <w:rPr>
          <w:rFonts w:eastAsia="仿宋_GB2312;仿宋"/>
          <w:sz w:val="32"/>
          <w:szCs w:val="32"/>
        </w:rPr>
        <w:t>外立面及其附属设施应当保持整洁、完好、美观。主要街道两侧和重点区域的</w:t>
      </w:r>
      <w:r>
        <w:rPr>
          <w:rFonts w:hint="eastAsia" w:eastAsia="仿宋_GB2312;仿宋"/>
          <w:sz w:val="32"/>
          <w:szCs w:val="32"/>
        </w:rPr>
        <w:t>建筑物、构筑物</w:t>
      </w:r>
      <w:r>
        <w:rPr>
          <w:rFonts w:eastAsia="仿宋_GB2312;仿宋"/>
          <w:sz w:val="32"/>
          <w:szCs w:val="32"/>
        </w:rPr>
        <w:t>出现结构损坏、墙面剥离或者外立面污染的，应当及时修缮、维护和清洗，危险</w:t>
      </w:r>
      <w:r>
        <w:rPr>
          <w:rFonts w:hint="eastAsia" w:eastAsia="仿宋_GB2312;仿宋"/>
          <w:sz w:val="32"/>
          <w:szCs w:val="32"/>
        </w:rPr>
        <w:t>建筑物、构筑物</w:t>
      </w:r>
      <w:r>
        <w:rPr>
          <w:rFonts w:eastAsia="仿宋_GB2312;仿宋"/>
          <w:sz w:val="32"/>
          <w:szCs w:val="32"/>
        </w:rPr>
        <w:t>应当及时拆除或</w:t>
      </w:r>
      <w:r>
        <w:rPr>
          <w:rFonts w:hint="eastAsia" w:eastAsia="仿宋_GB2312;仿宋"/>
          <w:sz w:val="32"/>
          <w:szCs w:val="32"/>
        </w:rPr>
        <w:t>者</w:t>
      </w:r>
      <w:r>
        <w:rPr>
          <w:rFonts w:eastAsia="仿宋_GB2312;仿宋"/>
          <w:sz w:val="32"/>
          <w:szCs w:val="32"/>
        </w:rPr>
        <w:t>整修。主要道路两侧和重点地区的</w:t>
      </w:r>
      <w:r>
        <w:rPr>
          <w:rFonts w:hint="eastAsia" w:eastAsia="仿宋_GB2312;仿宋"/>
          <w:sz w:val="32"/>
          <w:szCs w:val="32"/>
        </w:rPr>
        <w:t>建筑物、构筑物</w:t>
      </w:r>
      <w:r>
        <w:rPr>
          <w:rFonts w:eastAsia="仿宋_GB2312;仿宋"/>
          <w:sz w:val="32"/>
          <w:szCs w:val="32"/>
        </w:rPr>
        <w:t>外部和玻璃幕墙，应当定期清洗、粉刷</w:t>
      </w:r>
      <w:r>
        <w:rPr>
          <w:rFonts w:eastAsia="仿宋_GB2312;仿宋" w:hint="eastAsia"/>
          <w:sz w:val="32"/>
          <w:szCs w:val="32"/>
        </w:rPr>
        <w:t>;</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（二）主要道路两侧和重点地区的临街</w:t>
      </w:r>
      <w:r>
        <w:rPr>
          <w:rFonts w:hint="eastAsia" w:eastAsia="仿宋_GB2312;仿宋"/>
          <w:sz w:val="32"/>
          <w:szCs w:val="32"/>
        </w:rPr>
        <w:t>建筑物、构筑物</w:t>
      </w:r>
      <w:r>
        <w:rPr>
          <w:rFonts w:eastAsia="仿宋_GB2312;仿宋"/>
          <w:sz w:val="32"/>
          <w:szCs w:val="32"/>
        </w:rPr>
        <w:t>的窗外，不得吊挂、晾晒或者堆放影响市容市貌的物品</w:t>
      </w:r>
      <w:r>
        <w:rPr>
          <w:rFonts w:eastAsia="仿宋_GB2312;仿宋" w:hint="eastAsia"/>
          <w:sz w:val="32"/>
          <w:szCs w:val="32"/>
        </w:rPr>
        <w:t>;</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（三）城市道路两侧建筑物门店的装修、装饰，应当符合市人民政府有关规定，并与周边环境相协调；安装防盗窗的，不得超出建筑物的设计外沿</w:t>
      </w:r>
      <w:r>
        <w:rPr>
          <w:rFonts w:hint="eastAsia"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文物保护单位和历史文化街区的</w:t>
      </w:r>
      <w:r>
        <w:rPr>
          <w:rFonts w:hint="eastAsia" w:eastAsia="仿宋_GB2312;仿宋"/>
          <w:sz w:val="32"/>
          <w:szCs w:val="32"/>
        </w:rPr>
        <w:t>建筑物、构筑物，</w:t>
      </w:r>
      <w:r>
        <w:rPr>
          <w:rFonts w:eastAsia="仿宋_GB2312;仿宋"/>
          <w:sz w:val="32"/>
          <w:szCs w:val="32"/>
        </w:rPr>
        <w:t>应当保持原有的风格特色和传统风貌；周边控制地带的</w:t>
      </w:r>
      <w:r>
        <w:rPr>
          <w:rFonts w:hint="eastAsia" w:eastAsia="仿宋_GB2312;仿宋"/>
          <w:sz w:val="32"/>
          <w:szCs w:val="32"/>
        </w:rPr>
        <w:t>建筑物、构筑物</w:t>
      </w:r>
      <w:r>
        <w:rPr>
          <w:rFonts w:eastAsia="仿宋_GB2312;仿宋"/>
          <w:sz w:val="32"/>
          <w:szCs w:val="32"/>
        </w:rPr>
        <w:t>，应当按照规划和</w:t>
      </w:r>
      <w:r>
        <w:rPr>
          <w:rFonts w:hint="eastAsia" w:eastAsia="仿宋_GB2312;仿宋"/>
          <w:sz w:val="32"/>
          <w:szCs w:val="32"/>
        </w:rPr>
        <w:t>自然资源、</w:t>
      </w:r>
      <w:r>
        <w:rPr>
          <w:rFonts w:eastAsia="仿宋_GB2312;仿宋"/>
          <w:sz w:val="32"/>
          <w:szCs w:val="32"/>
        </w:rPr>
        <w:t>文物部门的</w:t>
      </w:r>
      <w:r>
        <w:rPr>
          <w:rFonts w:hint="eastAsia" w:eastAsia="仿宋_GB2312;仿宋"/>
          <w:sz w:val="32"/>
          <w:szCs w:val="32"/>
        </w:rPr>
        <w:t>设计规范</w:t>
      </w:r>
      <w:r>
        <w:rPr>
          <w:rFonts w:eastAsia="仿宋_GB2312;仿宋"/>
          <w:sz w:val="32"/>
          <w:szCs w:val="32"/>
        </w:rPr>
        <w:t>进行严格控制。</w:t>
      </w:r>
    </w:p>
    <w:p>
      <w:pPr>
        <w:pStyle w:val="Normal"/>
        <w:spacing w:lineRule="exact" w:line="596"/>
        <w:ind w:firstLineChars="200" w:startChars="0" w:start="0" w:endChars="0" w:end="0"/>
        <w:rPr>
          <w:rFonts w:eastAsia="仿宋_GB2312;仿宋"/>
          <w:sz w:val="32"/>
          <w:szCs w:val="32"/>
        </w:rPr>
      </w:pPr>
      <w:r>
        <w:rPr>
          <w:rFonts w:hint="eastAsia" w:eastAsia="黑体"/>
          <w:sz w:val="32"/>
          <w:szCs w:val="32"/>
        </w:rPr>
        <w:t xml:space="preserve">第九条  </w:t>
      </w:r>
      <w:r>
        <w:rPr>
          <w:rFonts w:eastAsia="仿宋_GB2312;仿宋"/>
          <w:sz w:val="32"/>
          <w:szCs w:val="32"/>
        </w:rPr>
        <w:t>城市道路两旁或者公共场所设置的公共服务设施，应当统一规划、有序设置，符合城市容貌标准。出现破旧、污损、残缺的，设置单位应当及时清洗、修复或者更换。</w:t>
      </w:r>
    </w:p>
    <w:p>
      <w:pPr>
        <w:pStyle w:val="Normal"/>
        <w:spacing w:lineRule="exact" w:line="596"/>
        <w:rPr>
          <w:rFonts w:eastAsia="仿宋_GB2312;仿宋"/>
          <w:sz w:val="32"/>
          <w:szCs w:val="32"/>
        </w:rPr>
      </w:pPr>
      <w:r>
        <w:rPr>
          <w:rFonts w:eastAsia="仿宋_GB2312;仿宋" w:hint="eastAsia"/>
          <w:sz w:val="32"/>
          <w:szCs w:val="32"/>
        </w:rPr>
        <w:t xml:space="preserve">    </w:t>
      </w:r>
      <w:r>
        <w:rPr>
          <w:rFonts w:eastAsia="仿宋_GB2312;仿宋"/>
          <w:sz w:val="32"/>
          <w:szCs w:val="32"/>
        </w:rPr>
        <w:t>城市夜景灯饰应当由所有权人或者管理人负责日常维护管理。</w:t>
      </w:r>
    </w:p>
    <w:p>
      <w:pPr>
        <w:pStyle w:val="Normal"/>
        <w:spacing w:lineRule="exact" w:line="596"/>
        <w:ind w:firstLineChars="200" w:startChars="0" w:start="0" w:endChars="0" w:end="0"/>
        <w:rPr>
          <w:rFonts w:eastAsia="仿宋_GB2312;仿宋"/>
          <w:sz w:val="32"/>
          <w:szCs w:val="32"/>
        </w:rPr>
      </w:pPr>
      <w:r>
        <w:rPr>
          <w:rFonts w:eastAsia="黑体"/>
          <w:sz w:val="32"/>
          <w:szCs w:val="32"/>
        </w:rPr>
        <w:t>第十条</w:t>
      </w:r>
      <w:r>
        <w:rPr>
          <w:rFonts w:hint="eastAsia" w:eastAsia="黑体"/>
          <w:sz w:val="32"/>
          <w:szCs w:val="32"/>
        </w:rPr>
        <w:t xml:space="preserve">  </w:t>
      </w:r>
      <w:r>
        <w:rPr>
          <w:rFonts w:eastAsia="仿宋_GB2312;仿宋"/>
          <w:sz w:val="32"/>
          <w:szCs w:val="32"/>
        </w:rPr>
        <w:t>无障碍</w:t>
      </w:r>
      <w:r>
        <w:rPr>
          <w:rFonts w:hint="eastAsia" w:eastAsia="仿宋_GB2312;仿宋"/>
          <w:sz w:val="32"/>
          <w:szCs w:val="32"/>
        </w:rPr>
        <w:t>通行</w:t>
      </w:r>
      <w:r>
        <w:rPr>
          <w:rFonts w:eastAsia="仿宋_GB2312;仿宋"/>
          <w:sz w:val="32"/>
          <w:szCs w:val="32"/>
        </w:rPr>
        <w:t>设施应当规范建设，其所有权人和管理人应当对无障碍设施进行管理和维护，保证无障碍设施的正常使用。</w:t>
      </w:r>
    </w:p>
    <w:p>
      <w:pPr>
        <w:pStyle w:val="Normal"/>
        <w:spacing w:lineRule="exact" w:line="596"/>
        <w:ind w:firstLineChars="200" w:startChars="0" w:start="0" w:endChars="0" w:end="0"/>
        <w:rPr>
          <w:rFonts w:eastAsia="仿宋_GB2312;仿宋"/>
          <w:sz w:val="32"/>
          <w:szCs w:val="32"/>
        </w:rPr>
      </w:pPr>
      <w:r>
        <w:rPr>
          <w:rFonts w:eastAsia="黑体"/>
          <w:sz w:val="32"/>
          <w:szCs w:val="32"/>
        </w:rPr>
        <w:t>第十</w:t>
      </w:r>
      <w:r>
        <w:rPr>
          <w:rFonts w:hint="eastAsia" w:eastAsia="黑体"/>
          <w:sz w:val="32"/>
          <w:szCs w:val="32"/>
        </w:rPr>
        <w:t>一</w:t>
      </w:r>
      <w:r>
        <w:rPr>
          <w:rFonts w:eastAsia="黑体"/>
          <w:sz w:val="32"/>
          <w:szCs w:val="32"/>
        </w:rPr>
        <w:t>条</w:t>
      </w:r>
      <w:r>
        <w:rPr>
          <w:rFonts w:hint="eastAsia" w:eastAsia="黑体"/>
          <w:sz w:val="32"/>
          <w:szCs w:val="32"/>
        </w:rPr>
        <w:t xml:space="preserve"> </w:t>
      </w:r>
      <w:r>
        <w:rPr>
          <w:rFonts w:eastAsia="仿宋_GB2312;仿宋"/>
          <w:sz w:val="32"/>
          <w:szCs w:val="32"/>
        </w:rPr>
        <w:t xml:space="preserve"> 公安机关交通管理部门应当会同城市市容和环境卫生主管部门</w:t>
      </w:r>
      <w:r>
        <w:rPr>
          <w:rFonts w:hint="eastAsia" w:eastAsia="仿宋_GB2312;仿宋"/>
          <w:sz w:val="32"/>
          <w:szCs w:val="32"/>
        </w:rPr>
        <w:t>、</w:t>
      </w:r>
      <w:r>
        <w:rPr>
          <w:rFonts w:eastAsia="仿宋_GB2312;仿宋"/>
          <w:sz w:val="32"/>
          <w:szCs w:val="32"/>
        </w:rPr>
        <w:t>住房和城乡建设、交通运输部门，在城市道路两侧和其他公共区域合理划定机动车、非机动车停放泊位。</w:t>
      </w:r>
    </w:p>
    <w:p>
      <w:pPr>
        <w:pStyle w:val="Normal"/>
        <w:spacing w:lineRule="exact" w:line="596"/>
        <w:ind w:firstLineChars="200" w:startChars="0" w:start="0" w:endChars="0" w:end="0"/>
        <w:rPr>
          <w:rFonts w:eastAsia="仿宋_GB2312;仿宋"/>
          <w:sz w:val="32"/>
          <w:szCs w:val="32"/>
        </w:rPr>
      </w:pPr>
      <w:r>
        <w:rPr>
          <w:rFonts w:hint="eastAsia" w:eastAsia="仿宋_GB2312;仿宋"/>
          <w:sz w:val="32"/>
          <w:szCs w:val="32"/>
        </w:rPr>
        <w:t>在满足业主、本单位职工需要的前提下，</w:t>
      </w:r>
      <w:r>
        <w:rPr>
          <w:rFonts w:eastAsia="仿宋_GB2312;仿宋"/>
          <w:sz w:val="32"/>
          <w:szCs w:val="32"/>
        </w:rPr>
        <w:t>鼓励单位、小区、个人停车泊位以多种形式对外开放。</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机动车、非机动车应当按照划定的位置、方向有序停放。</w:t>
      </w:r>
    </w:p>
    <w:p>
      <w:pPr>
        <w:pStyle w:val="Normal"/>
        <w:spacing w:lineRule="exact" w:line="596"/>
        <w:ind w:firstLineChars="200" w:startChars="0" w:start="0" w:endChars="0" w:end="0"/>
        <w:rPr>
          <w:rFonts w:ascii="仿宋_GB2312;仿宋" w:hAnsi="仿宋_GB2312;仿宋" w:eastAsia="仿宋_GB2312;仿宋" w:cs="仿宋_GB2312;仿宋" w:hint="eastAsia"/>
          <w:bCs/>
          <w:sz w:val="32"/>
          <w:szCs w:val="32"/>
        </w:rPr>
      </w:pPr>
      <w:r>
        <w:rPr>
          <w:rFonts w:eastAsia="黑体"/>
          <w:sz w:val="32"/>
          <w:szCs w:val="32"/>
        </w:rPr>
        <w:t>第十</w:t>
      </w:r>
      <w:r>
        <w:rPr>
          <w:rFonts w:hint="eastAsia" w:eastAsia="黑体"/>
          <w:sz w:val="32"/>
          <w:szCs w:val="32"/>
        </w:rPr>
        <w:t>二</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ascii="仿宋_GB2312;仿宋" w:hAnsi="仿宋_GB2312;仿宋" w:cs="仿宋_GB2312;仿宋" w:hint="eastAsia" w:eastAsia="仿宋_GB2312;仿宋"/>
          <w:bCs/>
          <w:sz w:val="32"/>
          <w:szCs w:val="32"/>
        </w:rPr>
        <w:t>任何单位和个人不得擅自占用城市道路、人行过街天桥、人行地下过街通道以及其他公共场所设摊经营、搭建临时设施（展台、棚、伞、架等）；不得擅自超出门窗、外墙进行店外经营、店外作业或者展示、堆放物品。</w:t>
      </w:r>
    </w:p>
    <w:p>
      <w:pPr>
        <w:pStyle w:val="Normal"/>
        <w:spacing w:lineRule="exact" w:line="596"/>
        <w:ind w:firstLineChars="200" w:startChars="0" w:start="0" w:endChars="0" w:end="0"/>
        <w:rPr>
          <w:rFonts w:ascii="仿宋_GB2312;仿宋" w:hAnsi="仿宋_GB2312;仿宋" w:eastAsia="仿宋_GB2312;仿宋" w:cs="仿宋_GB2312;仿宋" w:hint="eastAsia"/>
          <w:bCs/>
          <w:sz w:val="32"/>
          <w:szCs w:val="32"/>
        </w:rPr>
      </w:pPr>
      <w:r>
        <w:rPr>
          <w:rFonts w:ascii="仿宋_GB2312;仿宋" w:hAnsi="仿宋_GB2312;仿宋" w:cs="仿宋_GB2312;仿宋" w:hint="eastAsia" w:eastAsia="仿宋_GB2312;仿宋"/>
          <w:bCs/>
          <w:sz w:val="32"/>
          <w:szCs w:val="32"/>
        </w:rPr>
        <w:t>确需临时占用城市道路作为集贸市场、摊点群、特色经营街</w:t>
      </w:r>
      <w:r>
        <w:rPr>
          <w:rFonts w:hint="eastAsia" w:eastAsia="仿宋_GB2312;仿宋"/>
          <w:sz w:val="32"/>
          <w:szCs w:val="32"/>
        </w:rPr>
        <w:t>区、早市、夜市以及农产品、日用小商品等经营场所的，应当经</w:t>
      </w:r>
      <w:r>
        <w:rPr>
          <w:rFonts w:ascii="仿宋_GB2312;仿宋" w:hAnsi="仿宋_GB2312;仿宋" w:cs="仿宋_GB2312;仿宋" w:hint="eastAsia" w:eastAsia="仿宋_GB2312;仿宋"/>
          <w:bCs/>
          <w:sz w:val="32"/>
          <w:szCs w:val="32"/>
        </w:rPr>
        <w:t>市、县（区）人民政府批准，按照规定的地点和时段有序经营；临时建筑、临时设施应当符合街景规划要求，并按照规定时限拆除。</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流动售货车应当在指定的地点设置经营，</w:t>
      </w:r>
      <w:r>
        <w:rPr>
          <w:rFonts w:hint="eastAsia" w:eastAsia="仿宋_GB2312;仿宋"/>
          <w:sz w:val="32"/>
          <w:szCs w:val="32"/>
        </w:rPr>
        <w:t>保持</w:t>
      </w:r>
      <w:r>
        <w:rPr>
          <w:rFonts w:eastAsia="仿宋_GB2312;仿宋"/>
          <w:sz w:val="32"/>
          <w:szCs w:val="32"/>
        </w:rPr>
        <w:t>场地清洁。</w:t>
      </w:r>
    </w:p>
    <w:p>
      <w:pPr>
        <w:pStyle w:val="Normal"/>
        <w:spacing w:lineRule="exact" w:line="596"/>
        <w:ind w:firstLineChars="200" w:startChars="0" w:start="0" w:endChars="0" w:end="0"/>
        <w:rPr>
          <w:rFonts w:eastAsia="仿宋_GB2312;仿宋" w:hint="eastAsia"/>
          <w:sz w:val="32"/>
          <w:szCs w:val="32"/>
        </w:rPr>
      </w:pPr>
      <w:r>
        <w:rPr>
          <w:rFonts w:eastAsia="黑体"/>
          <w:sz w:val="32"/>
          <w:szCs w:val="32"/>
        </w:rPr>
        <w:t>第十</w:t>
      </w:r>
      <w:r>
        <w:rPr>
          <w:rFonts w:hint="eastAsia" w:eastAsia="黑体"/>
          <w:sz w:val="32"/>
          <w:szCs w:val="32"/>
        </w:rPr>
        <w:t>三</w:t>
      </w:r>
      <w:r>
        <w:rPr>
          <w:rFonts w:eastAsia="黑体"/>
          <w:sz w:val="32"/>
          <w:szCs w:val="32"/>
        </w:rPr>
        <w:t>条</w:t>
      </w:r>
      <w:r>
        <w:rPr>
          <w:rFonts w:hint="eastAsia" w:eastAsia="黑体"/>
          <w:sz w:val="32"/>
          <w:szCs w:val="32"/>
        </w:rPr>
        <w:t xml:space="preserve">  </w:t>
      </w:r>
      <w:r>
        <w:rPr>
          <w:rFonts w:eastAsia="仿宋_GB2312;仿宋"/>
          <w:sz w:val="32"/>
          <w:szCs w:val="32"/>
        </w:rPr>
        <w:t>任何单位和个人不得擅自设置地桩、地锁等障碍物圈占道路和公共场地，不得占压城市道路私接道路斜坡等构筑物。</w:t>
      </w:r>
      <w:r>
        <w:rPr>
          <w:rFonts w:hint="eastAsia" w:eastAsia="仿宋_GB2312;仿宋"/>
          <w:sz w:val="32"/>
          <w:szCs w:val="32"/>
        </w:rPr>
        <w:t xml:space="preserve"> </w:t>
      </w:r>
    </w:p>
    <w:p>
      <w:pPr>
        <w:pStyle w:val="Normal"/>
        <w:spacing w:lineRule="exact" w:line="596"/>
        <w:ind w:firstLineChars="200" w:startChars="0" w:start="0" w:endChars="0" w:end="0"/>
        <w:rPr>
          <w:rFonts w:eastAsia="仿宋_GB2312;仿宋" w:hint="eastAsia"/>
          <w:sz w:val="32"/>
          <w:szCs w:val="32"/>
        </w:rPr>
      </w:pPr>
      <w:r>
        <w:rPr>
          <w:rFonts w:eastAsia="黑体"/>
          <w:sz w:val="32"/>
          <w:szCs w:val="32"/>
        </w:rPr>
        <w:t>第</w:t>
      </w:r>
      <w:r>
        <w:rPr>
          <w:rFonts w:hint="eastAsia" w:eastAsia="黑体"/>
          <w:sz w:val="32"/>
          <w:szCs w:val="32"/>
        </w:rPr>
        <w:t>十四</w:t>
      </w:r>
      <w:r>
        <w:rPr>
          <w:rFonts w:eastAsia="黑体"/>
          <w:sz w:val="32"/>
          <w:szCs w:val="32"/>
        </w:rPr>
        <w:t>条</w:t>
      </w:r>
      <w:r>
        <w:rPr>
          <w:rFonts w:hint="eastAsia" w:eastAsia="黑体"/>
          <w:sz w:val="32"/>
          <w:szCs w:val="32"/>
        </w:rPr>
        <w:t xml:space="preserve">  </w:t>
      </w:r>
      <w:r>
        <w:rPr>
          <w:rFonts w:eastAsia="仿宋_GB2312;仿宋"/>
          <w:sz w:val="32"/>
          <w:szCs w:val="32"/>
        </w:rPr>
        <w:t>不得在城市道路、桥梁、护栏、路名牌、电线杆、路灯杆、树木、绿篱等设施上晾晒、吊挂衣物和其他物品。</w:t>
      </w:r>
    </w:p>
    <w:p>
      <w:pPr>
        <w:pStyle w:val="Normal"/>
        <w:spacing w:lineRule="exact" w:line="596"/>
        <w:ind w:firstLineChars="200" w:startChars="0" w:start="0" w:endChars="0" w:end="0"/>
        <w:rPr>
          <w:rFonts w:eastAsia="仿宋_GB2312;仿宋"/>
          <w:sz w:val="32"/>
          <w:szCs w:val="32"/>
        </w:rPr>
      </w:pPr>
      <w:r>
        <w:rPr>
          <w:rFonts w:eastAsia="黑体"/>
          <w:sz w:val="32"/>
          <w:szCs w:val="32"/>
        </w:rPr>
        <w:t>第十</w:t>
      </w:r>
      <w:r>
        <w:rPr>
          <w:rFonts w:hint="eastAsia" w:eastAsia="黑体"/>
          <w:sz w:val="32"/>
          <w:szCs w:val="32"/>
        </w:rPr>
        <w:t>五</w:t>
      </w:r>
      <w:r>
        <w:rPr>
          <w:rFonts w:eastAsia="黑体"/>
          <w:sz w:val="32"/>
          <w:szCs w:val="32"/>
        </w:rPr>
        <w:t>条</w:t>
      </w:r>
      <w:r>
        <w:rPr>
          <w:rFonts w:hint="eastAsia" w:eastAsia="黑体"/>
          <w:sz w:val="32"/>
          <w:szCs w:val="32"/>
        </w:rPr>
        <w:t xml:space="preserve">  </w:t>
      </w:r>
      <w:r>
        <w:rPr>
          <w:rFonts w:eastAsia="仿宋_GB2312;仿宋"/>
          <w:sz w:val="32"/>
          <w:szCs w:val="32"/>
        </w:rPr>
        <w:t>不得占用城市道路两侧的公共区域</w:t>
      </w:r>
      <w:r>
        <w:rPr>
          <w:rFonts w:hint="eastAsia" w:eastAsia="仿宋_GB2312;仿宋"/>
          <w:sz w:val="32"/>
          <w:szCs w:val="32"/>
        </w:rPr>
        <w:t>从事</w:t>
      </w:r>
      <w:r>
        <w:rPr>
          <w:rFonts w:eastAsia="仿宋_GB2312;仿宋"/>
          <w:sz w:val="32"/>
          <w:szCs w:val="32"/>
        </w:rPr>
        <w:t>车辆清洗、维修、装饰</w:t>
      </w:r>
      <w:r>
        <w:rPr>
          <w:rFonts w:hint="eastAsia" w:eastAsia="仿宋_GB2312;仿宋"/>
          <w:sz w:val="32"/>
          <w:szCs w:val="32"/>
        </w:rPr>
        <w:t>等，</w:t>
      </w:r>
      <w:r>
        <w:rPr>
          <w:rFonts w:eastAsia="仿宋_GB2312;仿宋"/>
          <w:sz w:val="32"/>
          <w:szCs w:val="32"/>
        </w:rPr>
        <w:t xml:space="preserve">作业过程中所产生的污水、污泥、油污等，应当按照相关规定处理，保持场所及周边环境整洁。                                      </w:t>
      </w:r>
    </w:p>
    <w:p>
      <w:pPr>
        <w:pStyle w:val="Normal"/>
        <w:spacing w:lineRule="exact" w:line="596"/>
        <w:ind w:firstLineChars="200" w:startChars="0" w:start="0" w:endChars="0" w:end="0"/>
        <w:rPr>
          <w:rFonts w:eastAsia="仿宋_GB2312;仿宋" w:hint="eastAsia"/>
          <w:sz w:val="32"/>
          <w:szCs w:val="32"/>
        </w:rPr>
      </w:pPr>
      <w:r>
        <w:rPr>
          <w:rFonts w:hint="eastAsia" w:eastAsia="黑体"/>
          <w:sz w:val="32"/>
          <w:szCs w:val="32"/>
        </w:rPr>
        <w:t xml:space="preserve">第十六条 </w:t>
      </w:r>
      <w:r>
        <w:rPr>
          <w:rFonts w:hint="eastAsia" w:eastAsia="仿宋_GB2312;仿宋"/>
          <w:sz w:val="32"/>
          <w:szCs w:val="32"/>
        </w:rPr>
        <w:t xml:space="preserve"> </w:t>
      </w:r>
      <w:r>
        <w:rPr>
          <w:rFonts w:eastAsia="仿宋_GB2312;仿宋"/>
          <w:sz w:val="32"/>
          <w:szCs w:val="32"/>
        </w:rPr>
        <w:t>在城市道路、广场等公共场所举办文化、展览、宣传、体育、节庆及商业等活动的，举办单位应当保持周围环境卫生整洁，及时清除当日产生的废弃物</w:t>
      </w:r>
      <w:r>
        <w:rPr>
          <w:rFonts w:hint="eastAsia"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hint="eastAsia" w:eastAsia="仿宋_GB2312;仿宋"/>
          <w:sz w:val="32"/>
          <w:szCs w:val="32"/>
        </w:rPr>
        <w:t>大型</w:t>
      </w:r>
      <w:r>
        <w:rPr>
          <w:rFonts w:eastAsia="仿宋_GB2312;仿宋"/>
          <w:sz w:val="32"/>
          <w:szCs w:val="32"/>
        </w:rPr>
        <w:t xml:space="preserve">会议、会展或者重要庆典活动确需在公共场所临时张贴、悬挂、设置标语等宣传品的，应当保持整洁美观；活动结束后，及时清除临时设置的各类设施。   </w:t>
      </w:r>
    </w:p>
    <w:p>
      <w:pPr>
        <w:pStyle w:val="Normal"/>
        <w:spacing w:lineRule="exact" w:line="596"/>
        <w:ind w:firstLineChars="200" w:startChars="0" w:start="0" w:endChars="0" w:end="0"/>
        <w:rPr>
          <w:rFonts w:ascii="仿宋_GB2312;仿宋" w:hAnsi="仿宋_GB2312;仿宋" w:eastAsia="仿宋_GB2312;仿宋" w:cs="仿宋_GB2312;仿宋" w:hint="eastAsia"/>
          <w:sz w:val="32"/>
          <w:szCs w:val="32"/>
        </w:rPr>
      </w:pPr>
      <w:r>
        <w:rPr>
          <w:rFonts w:eastAsia="黑体"/>
          <w:sz w:val="32"/>
          <w:szCs w:val="32"/>
        </w:rPr>
        <w:t>第十</w:t>
      </w:r>
      <w:r>
        <w:rPr>
          <w:rFonts w:hint="eastAsia" w:eastAsia="黑体"/>
          <w:sz w:val="32"/>
          <w:szCs w:val="32"/>
        </w:rPr>
        <w:t>七</w:t>
      </w:r>
      <w:r>
        <w:rPr>
          <w:rFonts w:eastAsia="黑体"/>
          <w:sz w:val="32"/>
          <w:szCs w:val="32"/>
        </w:rPr>
        <w:t>条</w:t>
      </w:r>
      <w:r>
        <w:rPr>
          <w:rFonts w:hint="eastAsia" w:eastAsia="黑体"/>
          <w:sz w:val="32"/>
          <w:szCs w:val="32"/>
        </w:rPr>
        <w:t xml:space="preserve">  </w:t>
      </w:r>
      <w:r>
        <w:rPr>
          <w:rFonts w:ascii="仿宋_GB2312;仿宋" w:hAnsi="仿宋_GB2312;仿宋" w:cs="仿宋_GB2312;仿宋" w:hint="eastAsia" w:eastAsia="仿宋_GB2312;仿宋"/>
          <w:sz w:val="32"/>
          <w:szCs w:val="32"/>
        </w:rPr>
        <w:t>在城市道路上运输施工物料、渣土、建筑垃圾、生活垃圾、餐厨垃圾等散体、液体物质的车辆，应当按照规定的时间、路线行驶，采取密封、包扎、覆盖等措施，不得泄漏抛洒和混合倾倒。</w:t>
      </w:r>
    </w:p>
    <w:p>
      <w:pPr>
        <w:pStyle w:val="Normal"/>
        <w:spacing w:lineRule="exact" w:line="596"/>
        <w:ind w:firstLineChars="200" w:startChars="0" w:start="0" w:endChars="0" w:end="0"/>
        <w:rPr>
          <w:rFonts w:eastAsia="仿宋_GB2312;仿宋"/>
          <w:sz w:val="32"/>
          <w:szCs w:val="32"/>
        </w:rPr>
      </w:pPr>
      <w:r>
        <w:rPr>
          <w:rFonts w:eastAsia="黑体"/>
          <w:sz w:val="32"/>
          <w:szCs w:val="32"/>
        </w:rPr>
        <w:t>第十八条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市、县（区）人民政府应当加强对共享交通工具的准入和经营服务管理。</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共享交通工具经营者应当规范运营和服务，及时清理妨碍市容和公共交通秩序的共享交通工具。</w:t>
      </w:r>
    </w:p>
    <w:p>
      <w:pPr>
        <w:pStyle w:val="Normal"/>
        <w:spacing w:lineRule="exact" w:line="596"/>
        <w:ind w:firstLineChars="200" w:startChars="0" w:start="0" w:endChars="0" w:end="0"/>
        <w:rPr>
          <w:rFonts w:ascii="仿宋_GB2312;仿宋" w:hAnsi="仿宋_GB2312;仿宋" w:eastAsia="仿宋_GB2312;仿宋" w:cs="仿宋_GB2312;仿宋" w:hint="eastAsia"/>
          <w:sz w:val="32"/>
          <w:szCs w:val="32"/>
        </w:rPr>
      </w:pPr>
      <w:r>
        <w:rPr>
          <w:rFonts w:eastAsia="仿宋_GB2312;仿宋"/>
          <w:spacing w:val="-6"/>
          <w:sz w:val="32"/>
          <w:szCs w:val="32"/>
        </w:rPr>
        <w:t xml:space="preserve">共享交通工具承租者应当文明使用、规范停放共享交通工具。  </w:t>
      </w:r>
    </w:p>
    <w:p>
      <w:pPr>
        <w:pStyle w:val="Normal"/>
        <w:spacing w:lineRule="exact" w:line="596"/>
        <w:ind w:firstLineChars="200" w:startChars="0" w:start="0" w:endChars="0" w:end="0"/>
        <w:rPr>
          <w:rFonts w:ascii="仿宋_GB2312;仿宋" w:hAnsi="仿宋_GB2312;仿宋" w:eastAsia="仿宋_GB2312;仿宋" w:cs="仿宋_GB2312;仿宋" w:hint="eastAsia"/>
          <w:sz w:val="32"/>
          <w:szCs w:val="32"/>
        </w:rPr>
      </w:pPr>
      <w:r>
        <w:rPr>
          <w:rFonts w:eastAsia="黑体"/>
          <w:sz w:val="32"/>
          <w:szCs w:val="32"/>
        </w:rPr>
        <w:t>第十</w:t>
      </w:r>
      <w:r>
        <w:rPr>
          <w:rFonts w:hint="eastAsia" w:eastAsia="黑体"/>
          <w:sz w:val="32"/>
          <w:szCs w:val="32"/>
        </w:rPr>
        <w:t>九</w:t>
      </w:r>
      <w:r>
        <w:rPr>
          <w:rFonts w:eastAsia="黑体"/>
          <w:sz w:val="32"/>
          <w:szCs w:val="32"/>
        </w:rPr>
        <w:t>条</w:t>
      </w:r>
      <w:r>
        <w:rPr>
          <w:rFonts w:hint="eastAsia" w:eastAsia="黑体"/>
          <w:sz w:val="32"/>
          <w:szCs w:val="32"/>
        </w:rPr>
        <w:t xml:space="preserve">  </w:t>
      </w:r>
      <w:r>
        <w:rPr>
          <w:rFonts w:ascii="仿宋_GB2312;仿宋" w:hAnsi="仿宋_GB2312;仿宋" w:cs="仿宋_GB2312;仿宋" w:hint="eastAsia" w:eastAsia="仿宋_GB2312;仿宋"/>
          <w:sz w:val="32"/>
          <w:szCs w:val="32"/>
        </w:rPr>
        <w:t>临街施工场地应当依法设置围挡、覆盖散装物料，硬化道路，洒水保洁。施工场地完工后，应当及时清理现场、平整场地、拆除各种临时设施。损坏地面和设施的，应当及时修补。</w:t>
      </w:r>
    </w:p>
    <w:p>
      <w:pPr>
        <w:pStyle w:val="Normal"/>
        <w:spacing w:lineRule="exact" w:line="59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建筑工地出口处应当设置车辆冲洗设备。施工车辆应当密闭运输，不得带泥进入城市道路。</w:t>
      </w:r>
    </w:p>
    <w:p>
      <w:pPr>
        <w:pStyle w:val="Normal"/>
        <w:spacing w:lineRule="exact" w:line="596"/>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二十</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城市管线应当规范建设，定期维护。在空中架设电力、电信、有线电视、通讯等线缆，或者依附于城市道路建设各种管线、杆线等设施，应当符合城市容貌标准。新建线缆设施应当入地敷设，各种架空线缆应当按</w:t>
      </w:r>
      <w:r>
        <w:rPr>
          <w:rFonts w:hint="eastAsia" w:eastAsia="仿宋_GB2312;仿宋"/>
          <w:sz w:val="32"/>
          <w:szCs w:val="32"/>
        </w:rPr>
        <w:t>照</w:t>
      </w:r>
      <w:r>
        <w:rPr>
          <w:rFonts w:eastAsia="仿宋_GB2312;仿宋"/>
          <w:sz w:val="32"/>
          <w:szCs w:val="32"/>
        </w:rPr>
        <w:t>规划入地敷设。</w:t>
      </w:r>
    </w:p>
    <w:p>
      <w:pPr>
        <w:pStyle w:val="Normal"/>
        <w:spacing w:lineRule="exact" w:line="596"/>
        <w:ind w:firstLineChars="200" w:startChars="0" w:start="0" w:endChars="0" w:end="0"/>
        <w:rPr>
          <w:rFonts w:ascii="仿宋_GB2312;仿宋" w:hAnsi="仿宋_GB2312;仿宋" w:eastAsia="仿宋_GB2312;仿宋" w:cs="仿宋_GB2312;仿宋" w:hint="eastAsia"/>
          <w:sz w:val="32"/>
          <w:szCs w:val="32"/>
        </w:rPr>
      </w:pPr>
      <w:r>
        <w:rPr>
          <w:rFonts w:eastAsia="仿宋_GB2312;仿宋"/>
          <w:sz w:val="32"/>
          <w:szCs w:val="32"/>
        </w:rPr>
        <w:t>主要街道和重点区域上空，不得新建架空管线设施。现有架空线缆和杆架，应当按照规划逐步改造入地埋设或者采取隐蔽措施；暂不能入地的，应当采取套管、捆扎等措施进行规范，不得凌乱悬挂。废弃的管线，由产权单位负责拆除。</w:t>
      </w:r>
    </w:p>
    <w:p>
      <w:pPr>
        <w:pStyle w:val="Normal"/>
        <w:spacing w:lineRule="exact" w:line="596"/>
        <w:ind w:firstLineChars="200" w:startChars="0" w:start="0" w:endChars="0" w:end="0"/>
        <w:rPr>
          <w:rFonts w:eastAsia="仿宋_GB2312;仿宋"/>
          <w:sz w:val="32"/>
          <w:szCs w:val="32"/>
        </w:rPr>
      </w:pPr>
      <w:r>
        <w:rPr>
          <w:rFonts w:eastAsia="黑体"/>
          <w:sz w:val="32"/>
          <w:szCs w:val="32"/>
        </w:rPr>
        <w:t>第二十一条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城市水域的容貌应当符合下列要求：</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（一）保持水域清洁，水面无漂浮垃圾、杂物；</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（二）坡岸、护栏、涵闸、泵站、亲水平台、码头等设施外观与周围环境相协调，无违规悬挂物品，无存积污物、垃圾；</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（三）各类船舶保持外观容貌整洁。</w:t>
      </w:r>
    </w:p>
    <w:p>
      <w:pPr>
        <w:pStyle w:val="Normal"/>
        <w:spacing w:lineRule="exact" w:line="596"/>
        <w:rPr>
          <w:rFonts w:eastAsia="黑体"/>
          <w:sz w:val="32"/>
          <w:szCs w:val="32"/>
        </w:rPr>
      </w:pPr>
      <w:r>
        <w:rPr>
          <w:rFonts w:eastAsia="黑体"/>
          <w:sz w:val="32"/>
          <w:szCs w:val="32"/>
        </w:rPr>
      </w:r>
    </w:p>
    <w:p>
      <w:pPr>
        <w:pStyle w:val="Normal"/>
        <w:spacing w:lineRule="exact" w:line="596"/>
        <w:jc w:val="center"/>
        <w:rPr>
          <w:rFonts w:eastAsia="仿宋_GB2312;仿宋"/>
          <w:b/>
          <w:bCs/>
          <w:sz w:val="32"/>
          <w:szCs w:val="32"/>
        </w:rPr>
      </w:pPr>
      <w:r>
        <w:rPr>
          <w:rFonts w:eastAsia="黑体"/>
          <w:sz w:val="32"/>
          <w:szCs w:val="32"/>
        </w:rPr>
        <w:t>第三章</w:t>
      </w:r>
      <w:r>
        <w:rPr>
          <w:rFonts w:hint="eastAsia" w:eastAsia="黑体"/>
          <w:sz w:val="32"/>
          <w:szCs w:val="32"/>
        </w:rPr>
        <w:t xml:space="preserve">  </w:t>
      </w:r>
      <w:r>
        <w:rPr>
          <w:rFonts w:eastAsia="黑体"/>
          <w:sz w:val="32"/>
          <w:szCs w:val="32"/>
        </w:rPr>
        <w:t>环境卫生</w:t>
      </w:r>
    </w:p>
    <w:p>
      <w:pPr>
        <w:pStyle w:val="Normal"/>
        <w:spacing w:lineRule="exact" w:line="596"/>
        <w:ind w:firstLineChars="200" w:startChars="0" w:start="0" w:endChars="0" w:end="0"/>
        <w:rPr>
          <w:rFonts w:eastAsia="黑体"/>
          <w:b/>
          <w:bCs/>
          <w:sz w:val="32"/>
          <w:szCs w:val="32"/>
        </w:rPr>
      </w:pPr>
      <w:r>
        <w:rPr>
          <w:rFonts w:eastAsia="黑体"/>
          <w:b/>
          <w:bCs/>
          <w:sz w:val="32"/>
          <w:szCs w:val="32"/>
        </w:rPr>
      </w:r>
    </w:p>
    <w:p>
      <w:pPr>
        <w:pStyle w:val="Normal"/>
        <w:spacing w:lineRule="exact" w:line="596"/>
        <w:ind w:firstLineChars="200" w:startChars="0" w:start="0" w:endChars="0" w:end="0"/>
        <w:rPr>
          <w:rFonts w:eastAsia="仿宋_GB2312;仿宋"/>
          <w:sz w:val="32"/>
          <w:szCs w:val="32"/>
        </w:rPr>
      </w:pPr>
      <w:r>
        <w:rPr>
          <w:rFonts w:eastAsia="黑体"/>
          <w:sz w:val="32"/>
          <w:szCs w:val="32"/>
        </w:rPr>
        <w:t>第二十二条</w:t>
      </w:r>
      <w:r>
        <w:rPr>
          <w:rFonts w:hint="eastAsia" w:eastAsia="仿宋_GB2312;仿宋"/>
          <w:sz w:val="32"/>
          <w:szCs w:val="32"/>
        </w:rPr>
        <w:t xml:space="preserve">  </w:t>
      </w:r>
      <w:r>
        <w:rPr>
          <w:rFonts w:eastAsia="仿宋_GB2312;仿宋"/>
          <w:sz w:val="32"/>
          <w:szCs w:val="32"/>
        </w:rPr>
        <w:t>城市环境卫生的清扫保洁，按照下列规定进行：</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（一）城市主、次街道、桥梁、人行天桥、公共广场、城市水域等城市公共区域，由辖区环境卫生清扫保洁专业单位负责</w:t>
      </w:r>
      <w:r>
        <w:rPr>
          <w:rFonts w:hint="eastAsia" w:eastAsia="仿宋_GB2312;仿宋"/>
          <w:sz w:val="32"/>
          <w:szCs w:val="32"/>
        </w:rPr>
        <w:t>；</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（二）街巷、住宅小区、乡（镇）、街道等居住区，由街道办事处负责；实行物业管理的区域，由物业服务企业负责</w:t>
      </w:r>
      <w:r>
        <w:rPr>
          <w:rFonts w:hint="eastAsia" w:eastAsia="仿宋_GB2312;仿宋"/>
          <w:sz w:val="32"/>
          <w:szCs w:val="32"/>
        </w:rPr>
        <w:t>；</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（三）在建工地由施工单位负责，待建工地由产权单位负责，征收拆迁工地、政府收储地由属地政府负责；新建住宅区，未交付使用前由开发企业负责</w:t>
      </w:r>
      <w:r>
        <w:rPr>
          <w:rFonts w:hint="eastAsia" w:eastAsia="仿宋_GB2312;仿宋"/>
          <w:sz w:val="32"/>
          <w:szCs w:val="32"/>
        </w:rPr>
        <w:t>；</w:t>
      </w:r>
    </w:p>
    <w:p>
      <w:pPr>
        <w:pStyle w:val="Normal"/>
        <w:spacing w:lineRule="exact" w:line="596"/>
        <w:ind w:firstLineChars="200" w:startChars="0" w:start="0" w:endChars="0" w:end="0"/>
        <w:rPr>
          <w:rFonts w:eastAsia="仿宋_GB2312;仿宋" w:hint="eastAsia"/>
          <w:sz w:val="32"/>
          <w:szCs w:val="32"/>
        </w:rPr>
      </w:pPr>
      <w:r>
        <w:rPr>
          <w:rFonts w:eastAsia="仿宋_GB2312;仿宋"/>
          <w:sz w:val="32"/>
          <w:szCs w:val="32"/>
        </w:rPr>
        <w:t>（四）机关、团体、部队、企业、事业等单位庭院，由本单位负责</w:t>
      </w:r>
      <w:r>
        <w:rPr>
          <w:rFonts w:hint="eastAsia"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（五）风景名胜区、旅游景区、机场、车站、铁路、公路、停车场、加油（气）站、文化体育场所等公共场所，由经营单位</w:t>
      </w:r>
      <w:r>
        <w:rPr>
          <w:rFonts w:hint="eastAsia" w:eastAsia="仿宋_GB2312;仿宋"/>
          <w:sz w:val="32"/>
          <w:szCs w:val="32"/>
        </w:rPr>
        <w:t>或者</w:t>
      </w:r>
      <w:r>
        <w:rPr>
          <w:rFonts w:eastAsia="仿宋_GB2312;仿宋"/>
          <w:sz w:val="32"/>
          <w:szCs w:val="32"/>
        </w:rPr>
        <w:t>管理单位负责</w:t>
      </w:r>
      <w:r>
        <w:rPr>
          <w:rFonts w:hint="eastAsia" w:eastAsia="仿宋_GB2312;仿宋"/>
          <w:sz w:val="32"/>
          <w:szCs w:val="32"/>
        </w:rPr>
        <w:t>；</w:t>
      </w:r>
      <w:r>
        <w:rPr>
          <w:rFonts w:eastAsia="仿宋_GB2312;仿宋"/>
          <w:sz w:val="32"/>
          <w:szCs w:val="32"/>
        </w:rPr>
        <w:t xml:space="preserve"> </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（六）集市街、临时摊点区和早市、夜市，由组织者或者管理者负责。</w:t>
      </w:r>
    </w:p>
    <w:p>
      <w:pPr>
        <w:pStyle w:val="Normal"/>
        <w:spacing w:lineRule="exact" w:line="596"/>
        <w:ind w:firstLineChars="200" w:startChars="0" w:start="0" w:endChars="0" w:end="0"/>
        <w:rPr>
          <w:rFonts w:eastAsia="仿宋_GB2312;仿宋"/>
          <w:sz w:val="32"/>
          <w:szCs w:val="32"/>
        </w:rPr>
      </w:pPr>
      <w:r>
        <w:rPr>
          <w:rFonts w:eastAsia="黑体"/>
          <w:sz w:val="32"/>
          <w:szCs w:val="32"/>
        </w:rPr>
        <w:t>第二十三条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临街单位应当认真落实责任区域门前五包责任制，实行“包净化、包绿化、包亮化、包美化、包秩序”。</w:t>
      </w:r>
    </w:p>
    <w:p>
      <w:pPr>
        <w:pStyle w:val="Normal"/>
        <w:spacing w:lineRule="exact" w:line="596"/>
        <w:ind w:firstLineChars="200" w:startChars="0" w:start="0" w:endChars="0" w:end="0"/>
        <w:rPr>
          <w:rFonts w:eastAsia="仿宋_GB2312;仿宋"/>
          <w:sz w:val="32"/>
          <w:szCs w:val="32"/>
        </w:rPr>
      </w:pPr>
      <w:r>
        <w:rPr>
          <w:rFonts w:eastAsia="黑体"/>
          <w:sz w:val="32"/>
          <w:szCs w:val="32"/>
        </w:rPr>
        <w:t>第二十四条</w:t>
      </w:r>
      <w:r>
        <w:rPr>
          <w:rFonts w:eastAsia="仿宋_GB2312;仿宋"/>
          <w:sz w:val="32"/>
          <w:szCs w:val="32"/>
        </w:rPr>
        <w:t xml:space="preserve"> </w:t>
      </w:r>
      <w:r>
        <w:rPr>
          <w:rFonts w:hint="eastAsia" w:eastAsia="仿宋_GB2312;仿宋"/>
          <w:sz w:val="32"/>
          <w:szCs w:val="32"/>
        </w:rPr>
        <w:t xml:space="preserve"> 禁止下列影响公共场所环境卫生的行为</w:t>
      </w:r>
      <w:r>
        <w:rPr>
          <w:rFonts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（一）随地吐痰、便溺；</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（二）乱扔果皮、纸屑、烟蒂、饮料瓶、口香糖、包装袋等废弃物；</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三</w:t>
      </w:r>
      <w:r>
        <w:rPr>
          <w:rFonts w:eastAsia="仿宋_GB2312;仿宋"/>
          <w:sz w:val="32"/>
          <w:szCs w:val="32"/>
        </w:rPr>
        <w:t>）将责任区内的垃圾等废弃物清扫或者堆放至公共场所；</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四</w:t>
      </w:r>
      <w:r>
        <w:rPr>
          <w:rFonts w:eastAsia="仿宋_GB2312;仿宋"/>
          <w:sz w:val="32"/>
          <w:szCs w:val="32"/>
        </w:rPr>
        <w:t>）乱丢电池、荧光管、显示屏等有毒有害物品；</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w:t>
      </w:r>
      <w:r>
        <w:rPr>
          <w:rFonts w:hint="eastAsia" w:eastAsia="仿宋_GB2312;仿宋"/>
          <w:sz w:val="32"/>
          <w:szCs w:val="32"/>
        </w:rPr>
        <w:t>五</w:t>
      </w:r>
      <w:r>
        <w:rPr>
          <w:rFonts w:eastAsia="仿宋_GB2312;仿宋"/>
          <w:sz w:val="32"/>
          <w:szCs w:val="32"/>
        </w:rPr>
        <w:t>）其他影响环境卫生的行为。</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对</w:t>
      </w:r>
      <w:r>
        <w:rPr>
          <w:rFonts w:hint="eastAsia" w:eastAsia="仿宋_GB2312;仿宋"/>
          <w:sz w:val="32"/>
          <w:szCs w:val="32"/>
        </w:rPr>
        <w:t>宠物</w:t>
      </w:r>
      <w:r>
        <w:rPr>
          <w:rFonts w:eastAsia="仿宋_GB2312;仿宋"/>
          <w:sz w:val="32"/>
          <w:szCs w:val="32"/>
        </w:rPr>
        <w:t>在户外排泄的粪便，</w:t>
      </w:r>
      <w:r>
        <w:rPr>
          <w:rFonts w:hint="eastAsia" w:eastAsia="仿宋_GB2312;仿宋"/>
          <w:sz w:val="32"/>
          <w:szCs w:val="32"/>
        </w:rPr>
        <w:t>饲养者</w:t>
      </w:r>
      <w:r>
        <w:rPr>
          <w:rFonts w:eastAsia="仿宋_GB2312;仿宋"/>
          <w:sz w:val="32"/>
          <w:szCs w:val="32"/>
        </w:rPr>
        <w:t>应当立即清除。</w:t>
      </w:r>
    </w:p>
    <w:p>
      <w:pPr>
        <w:pStyle w:val="Normal"/>
        <w:spacing w:lineRule="exact" w:line="596"/>
        <w:ind w:firstLineChars="200" w:startChars="0" w:start="0" w:endChars="0" w:end="0"/>
        <w:rPr>
          <w:rFonts w:eastAsia="仿宋_GB2312;仿宋"/>
          <w:sz w:val="32"/>
          <w:szCs w:val="32"/>
        </w:rPr>
      </w:pPr>
      <w:r>
        <w:rPr>
          <w:rFonts w:eastAsia="黑体"/>
          <w:sz w:val="32"/>
          <w:szCs w:val="32"/>
        </w:rPr>
        <w:t>第二十五条</w:t>
      </w:r>
      <w:r>
        <w:rPr>
          <w:rFonts w:eastAsia="仿宋_GB2312;仿宋"/>
          <w:sz w:val="32"/>
          <w:szCs w:val="32"/>
        </w:rPr>
        <w:t xml:space="preserve"> </w:t>
      </w:r>
      <w:r>
        <w:rPr>
          <w:rFonts w:hint="eastAsia" w:eastAsia="仿宋_GB2312;仿宋"/>
          <w:sz w:val="32"/>
          <w:szCs w:val="32"/>
        </w:rPr>
        <w:t xml:space="preserve"> 加快</w:t>
      </w:r>
      <w:r>
        <w:rPr>
          <w:rFonts w:eastAsia="仿宋_GB2312;仿宋"/>
          <w:sz w:val="32"/>
          <w:szCs w:val="32"/>
        </w:rPr>
        <w:t>实行生活垃圾分类投放、收集</w:t>
      </w:r>
      <w:r>
        <w:rPr>
          <w:rFonts w:hint="eastAsia" w:eastAsia="仿宋_GB2312;仿宋"/>
          <w:sz w:val="32"/>
          <w:szCs w:val="32"/>
        </w:rPr>
        <w:t>、运输</w:t>
      </w:r>
      <w:r>
        <w:rPr>
          <w:rFonts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产生城市生活垃圾的单位和个人</w:t>
      </w:r>
      <w:r>
        <w:rPr>
          <w:rFonts w:hint="eastAsia" w:eastAsia="仿宋_GB2312;仿宋"/>
          <w:sz w:val="32"/>
          <w:szCs w:val="32"/>
        </w:rPr>
        <w:t>，</w:t>
      </w:r>
      <w:r>
        <w:rPr>
          <w:rFonts w:eastAsia="仿宋_GB2312;仿宋"/>
          <w:sz w:val="32"/>
          <w:szCs w:val="32"/>
        </w:rPr>
        <w:t>应当按照分类标准，在规定的时间、地点倾倒垃圾、粪便，并按照规定缴纳城市生活垃圾处理费。</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市人民政府</w:t>
      </w:r>
      <w:r>
        <w:rPr>
          <w:rFonts w:hint="eastAsia" w:eastAsia="仿宋_GB2312;仿宋"/>
          <w:sz w:val="32"/>
          <w:szCs w:val="32"/>
        </w:rPr>
        <w:t>城市市容和环境卫生主管部门</w:t>
      </w:r>
      <w:r>
        <w:rPr>
          <w:rFonts w:eastAsia="仿宋_GB2312;仿宋"/>
          <w:sz w:val="32"/>
          <w:szCs w:val="32"/>
        </w:rPr>
        <w:t>应当做好生活垃圾分类投放宣传指导，并制定和公告垃圾分类投放、收集</w:t>
      </w:r>
      <w:r>
        <w:rPr>
          <w:rFonts w:hint="eastAsia" w:eastAsia="仿宋_GB2312;仿宋"/>
          <w:sz w:val="32"/>
          <w:szCs w:val="32"/>
        </w:rPr>
        <w:t>、运输</w:t>
      </w:r>
      <w:r>
        <w:rPr>
          <w:rFonts w:eastAsia="仿宋_GB2312;仿宋"/>
          <w:sz w:val="32"/>
          <w:szCs w:val="32"/>
        </w:rPr>
        <w:t>的标准和方法。</w:t>
      </w:r>
    </w:p>
    <w:p>
      <w:pPr>
        <w:pStyle w:val="Normal"/>
        <w:spacing w:lineRule="exact" w:line="596"/>
        <w:ind w:firstLineChars="200" w:startChars="0" w:start="0" w:endChars="0" w:end="0"/>
        <w:rPr>
          <w:rFonts w:eastAsia="仿宋_GB2312;仿宋" w:hint="eastAsia"/>
          <w:sz w:val="32"/>
          <w:szCs w:val="32"/>
        </w:rPr>
      </w:pPr>
      <w:r>
        <w:rPr>
          <w:rFonts w:eastAsia="黑体"/>
          <w:sz w:val="32"/>
          <w:szCs w:val="32"/>
        </w:rPr>
        <w:t>第二十六条</w:t>
      </w:r>
      <w:r>
        <w:rPr>
          <w:rFonts w:eastAsia="仿宋_GB2312;仿宋"/>
          <w:sz w:val="32"/>
          <w:szCs w:val="32"/>
        </w:rPr>
        <w:t xml:space="preserve">  任何单位和个人不得擅自运输、倾倒和处理生活垃圾、建筑垃圾。</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城市生活垃圾由环境卫生专业单位负责统一收集、倾倒，并在夜间清运，做到日产日清，桶洁地净。</w:t>
      </w:r>
    </w:p>
    <w:p>
      <w:pPr>
        <w:pStyle w:val="Normal"/>
        <w:spacing w:lineRule="exact" w:line="596"/>
        <w:ind w:firstLineChars="200" w:startChars="0" w:start="0" w:endChars="0" w:end="0"/>
        <w:rPr>
          <w:rFonts w:eastAsia="仿宋_GB2312;仿宋"/>
          <w:sz w:val="32"/>
          <w:szCs w:val="32"/>
        </w:rPr>
      </w:pPr>
      <w:r>
        <w:rPr>
          <w:rFonts w:hint="eastAsia" w:eastAsia="仿宋_GB2312;仿宋"/>
          <w:sz w:val="32"/>
          <w:szCs w:val="32"/>
        </w:rPr>
        <w:t>建筑垃圾</w:t>
      </w:r>
      <w:r>
        <w:rPr>
          <w:rFonts w:eastAsia="仿宋_GB2312;仿宋"/>
          <w:sz w:val="32"/>
          <w:szCs w:val="32"/>
        </w:rPr>
        <w:t>由单位或</w:t>
      </w:r>
      <w:r>
        <w:rPr>
          <w:rFonts w:hint="eastAsia" w:eastAsia="仿宋_GB2312;仿宋"/>
          <w:sz w:val="32"/>
          <w:szCs w:val="32"/>
        </w:rPr>
        <w:t>者</w:t>
      </w:r>
      <w:r>
        <w:rPr>
          <w:rFonts w:eastAsia="仿宋_GB2312;仿宋"/>
          <w:sz w:val="32"/>
          <w:szCs w:val="32"/>
        </w:rPr>
        <w:t>个人及时自行收集，并委托环境卫生专业单位清运、倾倒在市、县（区）人民政府城市市容和环境卫生主管部门指定的地点，不得</w:t>
      </w:r>
      <w:r>
        <w:rPr>
          <w:rFonts w:hint="eastAsia" w:eastAsia="仿宋_GB2312;仿宋"/>
          <w:sz w:val="32"/>
          <w:szCs w:val="32"/>
        </w:rPr>
        <w:t>与</w:t>
      </w:r>
      <w:r>
        <w:rPr>
          <w:rFonts w:eastAsia="仿宋_GB2312;仿宋"/>
          <w:sz w:val="32"/>
          <w:szCs w:val="32"/>
        </w:rPr>
        <w:t>居民生活垃圾</w:t>
      </w:r>
      <w:r>
        <w:rPr>
          <w:rFonts w:hint="eastAsia" w:eastAsia="仿宋_GB2312;仿宋"/>
          <w:sz w:val="32"/>
          <w:szCs w:val="32"/>
        </w:rPr>
        <w:t>混倒、混运</w:t>
      </w:r>
      <w:r>
        <w:rPr>
          <w:rFonts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黑体"/>
          <w:sz w:val="32"/>
          <w:szCs w:val="32"/>
        </w:rPr>
        <w:t>第二十七条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城市工程建设单位应当在开工前</w:t>
      </w:r>
      <w:r>
        <w:rPr>
          <w:rFonts w:hint="eastAsia" w:eastAsia="仿宋_GB2312;仿宋"/>
          <w:sz w:val="32"/>
          <w:szCs w:val="32"/>
        </w:rPr>
        <w:t>，</w:t>
      </w:r>
      <w:r>
        <w:rPr>
          <w:rFonts w:eastAsia="仿宋_GB2312;仿宋"/>
          <w:sz w:val="32"/>
          <w:szCs w:val="32"/>
        </w:rPr>
        <w:t>向城市市容和环境卫生主管部门申报建筑垃圾处置计划，交纳建筑垃圾处置费，在指定地点倾倒建筑垃圾。</w:t>
      </w:r>
    </w:p>
    <w:p>
      <w:pPr>
        <w:pStyle w:val="Normal"/>
        <w:spacing w:lineRule="exact" w:line="596"/>
        <w:ind w:firstLineChars="200" w:startChars="0" w:start="0" w:endChars="0" w:end="0"/>
        <w:rPr>
          <w:rFonts w:eastAsia="仿宋_GB2312;仿宋"/>
          <w:sz w:val="32"/>
          <w:szCs w:val="32"/>
        </w:rPr>
      </w:pPr>
      <w:r>
        <w:rPr>
          <w:rFonts w:eastAsia="黑体"/>
          <w:sz w:val="32"/>
          <w:szCs w:val="32"/>
        </w:rPr>
        <w:t>第二十八条</w:t>
      </w:r>
      <w:r>
        <w:rPr>
          <w:rFonts w:eastAsia="仿宋_GB2312;仿宋"/>
          <w:sz w:val="32"/>
          <w:szCs w:val="32"/>
        </w:rPr>
        <w:t xml:space="preserve"> </w:t>
      </w:r>
      <w:r>
        <w:rPr>
          <w:rFonts w:hint="eastAsia" w:eastAsia="仿宋_GB2312;仿宋"/>
          <w:sz w:val="32"/>
          <w:szCs w:val="32"/>
        </w:rPr>
        <w:t xml:space="preserve"> 医疗废物以及</w:t>
      </w:r>
      <w:r>
        <w:rPr>
          <w:rFonts w:eastAsia="仿宋_GB2312;仿宋"/>
          <w:sz w:val="32"/>
          <w:szCs w:val="32"/>
        </w:rPr>
        <w:t>有毒、有害垃圾，应当按照国家有关规定进行单独收集、运输、处置或者无害化处理。</w:t>
      </w:r>
    </w:p>
    <w:p>
      <w:pPr>
        <w:pStyle w:val="Normal"/>
        <w:spacing w:lineRule="exact" w:line="596"/>
        <w:ind w:firstLineChars="200" w:startChars="0" w:start="0" w:endChars="0" w:end="0"/>
        <w:rPr>
          <w:rFonts w:eastAsia="仿宋_GB2312;仿宋"/>
          <w:sz w:val="32"/>
          <w:szCs w:val="32"/>
        </w:rPr>
      </w:pPr>
      <w:r>
        <w:rPr>
          <w:rFonts w:eastAsia="黑体"/>
          <w:sz w:val="32"/>
          <w:szCs w:val="32"/>
        </w:rPr>
        <w:t>第二十九条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再生资源回收站（点）、中转站应当与环境卫生设施统一规划布局，不得影响城市市容和环境卫生。</w:t>
      </w:r>
    </w:p>
    <w:p>
      <w:pPr>
        <w:pStyle w:val="Normal"/>
        <w:spacing w:lineRule="exact" w:line="596"/>
        <w:ind w:firstLineChars="200" w:startChars="0" w:start="0" w:endChars="0" w:end="0"/>
        <w:rPr>
          <w:rFonts w:eastAsia="仿宋_GB2312;仿宋"/>
          <w:sz w:val="32"/>
          <w:szCs w:val="32"/>
        </w:rPr>
      </w:pPr>
      <w:r>
        <w:rPr>
          <w:rFonts w:eastAsia="黑体"/>
          <w:sz w:val="32"/>
          <w:szCs w:val="32"/>
        </w:rPr>
        <w:t>第三十条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市政、园林、电力、</w:t>
      </w:r>
      <w:r>
        <w:rPr>
          <w:rFonts w:hint="eastAsia" w:eastAsia="仿宋_GB2312;仿宋"/>
          <w:sz w:val="32"/>
          <w:szCs w:val="32"/>
        </w:rPr>
        <w:t>燃</w:t>
      </w:r>
      <w:r>
        <w:rPr>
          <w:rFonts w:eastAsia="仿宋_GB2312;仿宋"/>
          <w:sz w:val="32"/>
          <w:szCs w:val="32"/>
        </w:rPr>
        <w:t>气、邮电、供热、供水等单位工程建筑与养护产生的污泥、残土等废弃物，应当及时清除，不得积存。造成路面和设施损坏的，应当及时修补。</w:t>
      </w:r>
    </w:p>
    <w:p>
      <w:pPr>
        <w:pStyle w:val="Normal"/>
        <w:spacing w:lineRule="exact" w:line="596"/>
        <w:ind w:firstLineChars="200" w:startChars="0" w:start="0" w:endChars="0" w:end="0"/>
        <w:rPr>
          <w:rFonts w:eastAsia="仿宋_GB2312;仿宋"/>
          <w:sz w:val="32"/>
          <w:szCs w:val="32"/>
        </w:rPr>
      </w:pPr>
      <w:r>
        <w:rPr>
          <w:rFonts w:eastAsia="黑体"/>
          <w:sz w:val="32"/>
          <w:szCs w:val="32"/>
        </w:rPr>
        <w:t>第三十一条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单位和个人有清除冰雪的责任</w:t>
      </w:r>
      <w:r>
        <w:rPr>
          <w:rFonts w:hint="eastAsia" w:eastAsia="仿宋_GB2312;仿宋"/>
          <w:sz w:val="32"/>
          <w:szCs w:val="32"/>
        </w:rPr>
        <w:t>和义务</w:t>
      </w:r>
      <w:r>
        <w:rPr>
          <w:rFonts w:eastAsia="仿宋_GB2312;仿宋"/>
          <w:sz w:val="32"/>
          <w:szCs w:val="32"/>
        </w:rPr>
        <w:t>，降雪后，按照划分的卫生责任区段，在雪停后二十四小时内清除路面冰雪。</w:t>
      </w:r>
    </w:p>
    <w:p>
      <w:pPr>
        <w:pStyle w:val="Normal"/>
        <w:spacing w:lineRule="exact" w:line="596"/>
        <w:ind w:firstLineChars="200" w:startChars="0" w:start="0" w:endChars="0" w:end="0"/>
        <w:rPr>
          <w:rFonts w:eastAsia="仿宋_GB2312;仿宋"/>
          <w:sz w:val="32"/>
          <w:szCs w:val="32"/>
        </w:rPr>
      </w:pPr>
      <w:r>
        <w:rPr>
          <w:rFonts w:eastAsia="黑体"/>
          <w:sz w:val="32"/>
          <w:szCs w:val="32"/>
        </w:rPr>
        <w:t>第三十</w:t>
      </w:r>
      <w:r>
        <w:rPr>
          <w:rFonts w:hint="eastAsia" w:eastAsia="黑体"/>
          <w:sz w:val="32"/>
          <w:szCs w:val="32"/>
        </w:rPr>
        <w:t>二</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城市公共厕所的设置，应当由县（区）人民政府城市市容和环境卫生主管部门根据城市居住人口密度和流动人口数量以及公共场所等特定区域的需要提出建议，并按照国家规定的标准由规划和自然资源、住房和城乡建设部门规划、设计，由城市建设</w:t>
      </w:r>
      <w:r>
        <w:rPr>
          <w:rFonts w:hint="eastAsia" w:eastAsia="仿宋_GB2312;仿宋"/>
          <w:sz w:val="32"/>
          <w:szCs w:val="32"/>
        </w:rPr>
        <w:t>单位</w:t>
      </w:r>
      <w:r>
        <w:rPr>
          <w:rFonts w:eastAsia="仿宋_GB2312;仿宋"/>
          <w:sz w:val="32"/>
          <w:szCs w:val="32"/>
        </w:rPr>
        <w:t>建设，移交环境卫生单位管理。</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对年久失修或者不符合规定标准的公共厕所，县（区）人民政府城市市容和环境卫生主管部门应当责令产权单位限期改造</w:t>
      </w:r>
      <w:r>
        <w:rPr>
          <w:rFonts w:hint="eastAsia" w:eastAsia="仿宋_GB2312;仿宋"/>
          <w:sz w:val="32"/>
          <w:szCs w:val="32"/>
        </w:rPr>
        <w:t>、修缮</w:t>
      </w:r>
      <w:r>
        <w:rPr>
          <w:rFonts w:eastAsia="仿宋_GB2312;仿宋"/>
          <w:sz w:val="32"/>
          <w:szCs w:val="32"/>
        </w:rPr>
        <w:t>。</w:t>
      </w:r>
    </w:p>
    <w:p>
      <w:pPr>
        <w:pStyle w:val="Normal"/>
        <w:spacing w:lineRule="exact" w:line="596"/>
        <w:ind w:firstLineChars="200" w:startChars="0" w:start="0" w:endChars="0" w:end="0"/>
        <w:rPr>
          <w:rFonts w:eastAsia="仿宋_GB2312;仿宋"/>
          <w:sz w:val="32"/>
          <w:szCs w:val="32"/>
        </w:rPr>
      </w:pPr>
      <w:r>
        <w:rPr>
          <w:rFonts w:eastAsia="黑体"/>
          <w:sz w:val="32"/>
          <w:szCs w:val="32"/>
        </w:rPr>
        <w:t>第三十</w:t>
      </w:r>
      <w:r>
        <w:rPr>
          <w:rFonts w:hint="eastAsia" w:eastAsia="黑体"/>
          <w:sz w:val="32"/>
          <w:szCs w:val="32"/>
        </w:rPr>
        <w:t>三</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城市公共厕所应当设置明显标识，配置防蝇、照明等设施，定期喷洒消杀药物，建立管理制度，</w:t>
      </w:r>
      <w:r>
        <w:rPr>
          <w:rFonts w:hint="eastAsia" w:eastAsia="仿宋_GB2312;仿宋"/>
          <w:sz w:val="32"/>
          <w:szCs w:val="32"/>
        </w:rPr>
        <w:t>确定</w:t>
      </w:r>
      <w:r>
        <w:rPr>
          <w:rFonts w:eastAsia="仿宋_GB2312;仿宋"/>
          <w:sz w:val="32"/>
          <w:szCs w:val="32"/>
        </w:rPr>
        <w:t>专人</w:t>
      </w:r>
      <w:r>
        <w:rPr>
          <w:rFonts w:hint="eastAsia" w:eastAsia="仿宋_GB2312;仿宋"/>
          <w:sz w:val="32"/>
          <w:szCs w:val="32"/>
        </w:rPr>
        <w:t>负责。</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集贸市场和经批准设置的临时摊点区的公共厕所及其他卫生设施，由主办单位负责管理。</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公共厕所、垃圾点的通道周边，不得搭建</w:t>
      </w:r>
      <w:r>
        <w:rPr>
          <w:rFonts w:hint="eastAsia" w:eastAsia="仿宋_GB2312;仿宋"/>
          <w:sz w:val="32"/>
          <w:szCs w:val="32"/>
        </w:rPr>
        <w:t>建筑物、构筑物</w:t>
      </w:r>
      <w:r>
        <w:rPr>
          <w:rFonts w:eastAsia="仿宋_GB2312;仿宋"/>
          <w:sz w:val="32"/>
          <w:szCs w:val="32"/>
        </w:rPr>
        <w:t>或者堆放杂物等。</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城市粪便由环境卫生专业单位负责包掏包运，遵守粪车出入市区时间，做到密闭运输、定时清运、消毒，保持厕所内外清洁。</w:t>
      </w:r>
    </w:p>
    <w:p>
      <w:pPr>
        <w:pStyle w:val="Normal"/>
        <w:spacing w:lineRule="exact" w:line="596"/>
        <w:ind w:firstLineChars="200" w:startChars="0" w:start="0" w:endChars="0" w:end="0"/>
        <w:rPr>
          <w:rFonts w:eastAsia="仿宋_GB2312;仿宋"/>
          <w:sz w:val="32"/>
          <w:szCs w:val="32"/>
        </w:rPr>
      </w:pPr>
      <w:r>
        <w:rPr>
          <w:rFonts w:eastAsia="黑体"/>
          <w:sz w:val="32"/>
          <w:szCs w:val="32"/>
        </w:rPr>
        <w:t>第三十</w:t>
      </w:r>
      <w:r>
        <w:rPr>
          <w:rFonts w:hint="eastAsia" w:eastAsia="黑体"/>
          <w:sz w:val="32"/>
          <w:szCs w:val="32"/>
        </w:rPr>
        <w:t>四</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新建、改建、扩建建设项目，应当</w:t>
      </w:r>
      <w:r>
        <w:rPr>
          <w:rFonts w:hint="eastAsia" w:eastAsia="仿宋_GB2312;仿宋"/>
          <w:sz w:val="32"/>
          <w:szCs w:val="32"/>
        </w:rPr>
        <w:t>按照国家规定</w:t>
      </w:r>
      <w:r>
        <w:rPr>
          <w:rFonts w:eastAsia="仿宋_GB2312;仿宋"/>
          <w:sz w:val="32"/>
          <w:szCs w:val="32"/>
        </w:rPr>
        <w:t>配套建设垃圾收集站等环境卫生设施，并保持设施完好。</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未经批准，不得擅自关闭、拆除、迁移或者改变公共厕所及其他</w:t>
      </w:r>
      <w:r>
        <w:rPr>
          <w:rFonts w:hint="eastAsia" w:eastAsia="仿宋_GB2312;仿宋"/>
          <w:sz w:val="32"/>
          <w:szCs w:val="32"/>
        </w:rPr>
        <w:t>环境</w:t>
      </w:r>
      <w:r>
        <w:rPr>
          <w:rFonts w:eastAsia="仿宋_GB2312;仿宋"/>
          <w:sz w:val="32"/>
          <w:szCs w:val="32"/>
        </w:rPr>
        <w:t>卫生设施的使用性质和内部结构。</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t>环境卫生设施确因建设需要拆迁的，由建设单位提出拆迁方案，报县（区）人民政府城市市容和环境卫生主管部门批准</w:t>
      </w:r>
      <w:r>
        <w:rPr>
          <w:rFonts w:hint="eastAsia" w:eastAsia="仿宋_GB2312;仿宋"/>
          <w:sz w:val="32"/>
          <w:szCs w:val="32"/>
        </w:rPr>
        <w:t>。</w:t>
      </w:r>
      <w:r>
        <w:rPr>
          <w:rFonts w:eastAsia="仿宋_GB2312;仿宋"/>
          <w:sz w:val="32"/>
          <w:szCs w:val="32"/>
        </w:rPr>
        <w:t xml:space="preserve"> </w:t>
      </w:r>
    </w:p>
    <w:p>
      <w:pPr>
        <w:pStyle w:val="Normal"/>
        <w:spacing w:lineRule="exact" w:line="596"/>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96"/>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spacing w:lineRule="exact" w:line="596"/>
        <w:rPr>
          <w:rFonts w:ascii="黑体" w:hAnsi="黑体" w:eastAsia="仿宋_GB2312;仿宋" w:cs="黑体" w:hint="eastAsia"/>
          <w:sz w:val="32"/>
          <w:szCs w:val="32"/>
        </w:rPr>
      </w:pPr>
      <w:r>
        <w:rPr>
          <w:rFonts w:eastAsia="仿宋_GB2312;仿宋" w:cs="黑体" w:hint="eastAsia" w:ascii="黑体" w:hAnsi="黑体"/>
          <w:sz w:val="32"/>
          <w:szCs w:val="32"/>
        </w:rPr>
      </w:r>
    </w:p>
    <w:p>
      <w:pPr>
        <w:pStyle w:val="Normal"/>
        <w:spacing w:lineRule="exact" w:line="596"/>
        <w:ind w:firstLineChars="200" w:startChars="0" w:start="0" w:endChars="0" w:end="0"/>
        <w:rPr>
          <w:rFonts w:eastAsia="仿宋_GB2312;仿宋"/>
          <w:sz w:val="32"/>
          <w:szCs w:val="32"/>
        </w:rPr>
      </w:pPr>
      <w:r>
        <w:rPr>
          <w:rFonts w:ascii="黑体" w:hAnsi="黑体" w:cs="黑体" w:hint="eastAsia" w:eastAsia="黑体"/>
          <w:sz w:val="32"/>
          <w:szCs w:val="32"/>
        </w:rPr>
        <w:t>第三十五条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违反本办法规定，法律、行政法规以及本省人民代表大会及其常务委员会制定的地方性法规已有法律责任规定的，</w:t>
      </w:r>
      <w:r>
        <w:rPr>
          <w:rFonts w:hint="eastAsia" w:eastAsia="仿宋_GB2312;仿宋"/>
          <w:sz w:val="32"/>
          <w:szCs w:val="32"/>
        </w:rPr>
        <w:t>从</w:t>
      </w:r>
      <w:r>
        <w:rPr>
          <w:rFonts w:eastAsia="仿宋_GB2312;仿宋"/>
          <w:sz w:val="32"/>
          <w:szCs w:val="32"/>
        </w:rPr>
        <w:t>其规定。</w:t>
      </w:r>
    </w:p>
    <w:p>
      <w:pPr>
        <w:pStyle w:val="Style15"/>
        <w:spacing w:lineRule="exact" w:line="596" w:before="0" w:after="0"/>
        <w:ind w:firstLineChars="200" w:startChars="0" w:start="0" w:endChars="0" w:end="0"/>
        <w:jc w:val="both"/>
        <w:rPr>
          <w:rFonts w:ascii="Times New Roman" w:hAnsi="Times New Roman" w:eastAsia="仿宋_GB2312;仿宋" w:cs="Times New Roman"/>
          <w:sz w:val="32"/>
          <w:szCs w:val="32"/>
        </w:rPr>
      </w:pPr>
      <w:r>
        <w:rPr>
          <w:rFonts w:ascii="黑体" w:hAnsi="黑体" w:cs="黑体" w:hint="eastAsia" w:eastAsia="黑体"/>
          <w:sz w:val="32"/>
          <w:szCs w:val="32"/>
        </w:rPr>
        <w:t>第三十六条</w:t>
      </w:r>
      <w:r>
        <w:rPr>
          <w:rFonts w:ascii="Times New Roman" w:hAnsi="Times New Roman" w:cs="Times New Roman" w:eastAsia="仿宋_GB2312;仿宋"/>
          <w:sz w:val="32"/>
          <w:szCs w:val="32"/>
        </w:rPr>
        <w:t xml:space="preserve"> </w:t>
      </w:r>
      <w:r>
        <w:rPr>
          <w:rFonts w:ascii="Times New Roman" w:hAnsi="Times New Roman" w:cs="Times New Roman" w:hint="eastAsia" w:eastAsia="仿宋_GB2312;仿宋"/>
          <w:sz w:val="32"/>
          <w:szCs w:val="32"/>
        </w:rPr>
        <w:t xml:space="preserve"> </w:t>
      </w:r>
      <w:r>
        <w:rPr>
          <w:rFonts w:ascii="Times New Roman" w:hAnsi="Times New Roman" w:cs="Times New Roman" w:eastAsia="仿宋_GB2312;仿宋"/>
          <w:sz w:val="32"/>
          <w:szCs w:val="32"/>
        </w:rPr>
        <w:t>违反本办法规定，临街施工场地完工后不及时清理现场和平整场地，影响市容和环境卫生的，由城市市容和环境卫生主管部</w:t>
      </w:r>
      <w:r>
        <w:rPr>
          <w:rFonts w:ascii="Times New Roman" w:hAnsi="Times New Roman" w:cs="Times New Roman" w:eastAsia="仿宋_GB2312;仿宋"/>
          <w:kern w:val="2"/>
          <w:sz w:val="32"/>
          <w:szCs w:val="32"/>
        </w:rPr>
        <w:t>门</w:t>
      </w:r>
      <w:r>
        <w:rPr>
          <w:rFonts w:ascii="Times New Roman" w:hAnsi="Times New Roman" w:cs="Times New Roman" w:hint="eastAsia" w:eastAsia="仿宋_GB2312;仿宋"/>
          <w:kern w:val="2"/>
          <w:sz w:val="32"/>
          <w:szCs w:val="32"/>
        </w:rPr>
        <w:t>责令其纠正违法行为、采取补救措施，并</w:t>
      </w:r>
      <w:r>
        <w:rPr>
          <w:rFonts w:ascii="Times New Roman" w:hAnsi="Times New Roman" w:cs="Times New Roman" w:eastAsia="仿宋_GB2312;仿宋"/>
          <w:kern w:val="2"/>
          <w:sz w:val="32"/>
          <w:szCs w:val="32"/>
        </w:rPr>
        <w:t>对单位</w:t>
      </w:r>
      <w:r>
        <w:rPr>
          <w:rFonts w:ascii="Times New Roman" w:hAnsi="Times New Roman" w:cs="Times New Roman" w:hint="eastAsia" w:eastAsia="仿宋_GB2312;仿宋"/>
          <w:kern w:val="2"/>
          <w:sz w:val="32"/>
          <w:szCs w:val="32"/>
        </w:rPr>
        <w:t>按照建造围挡</w:t>
      </w:r>
      <w:r>
        <w:rPr>
          <w:rFonts w:ascii="Times New Roman" w:hAnsi="Times New Roman" w:cs="Times New Roman" w:hint="eastAsia" w:eastAsia="仿宋_GB2312;仿宋"/>
          <w:sz w:val="32"/>
          <w:szCs w:val="32"/>
        </w:rPr>
        <w:t>成本的一点五倍</w:t>
      </w:r>
      <w:r>
        <w:rPr>
          <w:rFonts w:ascii="Times New Roman" w:hAnsi="Times New Roman" w:cs="Times New Roman" w:eastAsia="仿宋_GB2312;仿宋"/>
          <w:sz w:val="32"/>
          <w:szCs w:val="32"/>
        </w:rPr>
        <w:t>罚款；对个人处一</w:t>
      </w:r>
      <w:r>
        <w:rPr>
          <w:rFonts w:ascii="Times New Roman" w:hAnsi="Times New Roman" w:cs="Times New Roman" w:hint="eastAsia" w:eastAsia="仿宋_GB2312;仿宋"/>
          <w:sz w:val="32"/>
          <w:szCs w:val="32"/>
        </w:rPr>
        <w:t>千</w:t>
      </w:r>
      <w:r>
        <w:rPr>
          <w:rFonts w:ascii="Times New Roman" w:hAnsi="Times New Roman" w:cs="Times New Roman" w:eastAsia="仿宋_GB2312;仿宋"/>
          <w:sz w:val="32"/>
          <w:szCs w:val="32"/>
        </w:rPr>
        <w:t>元以上二</w:t>
      </w:r>
      <w:r>
        <w:rPr>
          <w:rFonts w:ascii="Times New Roman" w:hAnsi="Times New Roman" w:cs="Times New Roman" w:hint="eastAsia" w:eastAsia="仿宋_GB2312;仿宋"/>
          <w:sz w:val="32"/>
          <w:szCs w:val="32"/>
        </w:rPr>
        <w:t>千</w:t>
      </w:r>
      <w:r>
        <w:rPr>
          <w:rFonts w:ascii="Times New Roman" w:hAnsi="Times New Roman" w:cs="Times New Roman" w:eastAsia="仿宋_GB2312;仿宋"/>
          <w:sz w:val="32"/>
          <w:szCs w:val="32"/>
        </w:rPr>
        <w:t>元以下罚款。</w:t>
      </w:r>
    </w:p>
    <w:p>
      <w:pPr>
        <w:pStyle w:val="Normal"/>
        <w:spacing w:lineRule="exact" w:line="596"/>
        <w:ind w:firstLineChars="200" w:startChars="0" w:start="0" w:endChars="0" w:end="0"/>
        <w:rPr>
          <w:rFonts w:eastAsia="仿宋_GB2312;仿宋"/>
          <w:sz w:val="32"/>
          <w:szCs w:val="32"/>
        </w:rPr>
      </w:pPr>
      <w:r>
        <w:rPr>
          <w:rFonts w:eastAsia="黑体"/>
          <w:sz w:val="32"/>
          <w:szCs w:val="32"/>
        </w:rPr>
        <w:t>第三十</w:t>
      </w:r>
      <w:r>
        <w:rPr>
          <w:rFonts w:hint="eastAsia" w:eastAsia="黑体"/>
          <w:sz w:val="32"/>
          <w:szCs w:val="32"/>
        </w:rPr>
        <w:t>七</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违反本办法规定，共享交通工具经营者未及时清理妨碍市容和公共交通秩序的共享交通工具，由城市市容和环境卫生主管部门责令限时清理，逾期未清理</w:t>
      </w:r>
      <w:r>
        <w:rPr>
          <w:rFonts w:hint="eastAsia" w:eastAsia="仿宋_GB2312;仿宋"/>
          <w:sz w:val="32"/>
          <w:szCs w:val="32"/>
        </w:rPr>
        <w:t>的</w:t>
      </w:r>
      <w:r>
        <w:rPr>
          <w:rFonts w:eastAsia="仿宋_GB2312;仿宋"/>
          <w:sz w:val="32"/>
          <w:szCs w:val="32"/>
        </w:rPr>
        <w:t>，每辆处</w:t>
      </w:r>
      <w:r>
        <w:rPr>
          <w:rFonts w:hint="eastAsia" w:eastAsia="仿宋_GB2312;仿宋"/>
          <w:sz w:val="32"/>
          <w:szCs w:val="32"/>
        </w:rPr>
        <w:t>二</w:t>
      </w:r>
      <w:r>
        <w:rPr>
          <w:rFonts w:eastAsia="仿宋_GB2312;仿宋"/>
          <w:sz w:val="32"/>
          <w:szCs w:val="32"/>
        </w:rPr>
        <w:t>十元罚款；共享交通工具承租者未按规定使用或者规范停放的，由城市市容和环境卫生主管部门责令改正；拒不改正的，处二十元罚款。</w:t>
      </w:r>
    </w:p>
    <w:p>
      <w:pPr>
        <w:pStyle w:val="Normal"/>
        <w:spacing w:lineRule="exact" w:line="596"/>
        <w:ind w:firstLineChars="200" w:startChars="0" w:start="0" w:endChars="0" w:end="0"/>
        <w:rPr>
          <w:rFonts w:eastAsia="仿宋_GB2312;仿宋" w:hint="eastAsia"/>
          <w:sz w:val="32"/>
          <w:szCs w:val="32"/>
        </w:rPr>
      </w:pPr>
      <w:r>
        <w:rPr>
          <w:rFonts w:eastAsia="黑体"/>
          <w:sz w:val="32"/>
          <w:szCs w:val="32"/>
        </w:rPr>
        <w:t>第</w:t>
      </w:r>
      <w:r>
        <w:rPr>
          <w:rFonts w:hint="eastAsia" w:eastAsia="黑体"/>
          <w:sz w:val="32"/>
          <w:szCs w:val="32"/>
        </w:rPr>
        <w:t>三十八</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违反本办法规定，</w:t>
      </w:r>
      <w:r>
        <w:rPr>
          <w:rFonts w:hint="eastAsia" w:eastAsia="仿宋_GB2312;仿宋"/>
          <w:sz w:val="32"/>
          <w:szCs w:val="32"/>
        </w:rPr>
        <w:t>个人</w:t>
      </w:r>
      <w:r>
        <w:rPr>
          <w:rFonts w:eastAsia="仿宋_GB2312;仿宋"/>
          <w:sz w:val="32"/>
          <w:szCs w:val="32"/>
        </w:rPr>
        <w:t>将</w:t>
      </w:r>
      <w:r>
        <w:rPr>
          <w:rFonts w:hint="eastAsia" w:eastAsia="仿宋_GB2312;仿宋"/>
          <w:sz w:val="32"/>
          <w:szCs w:val="32"/>
        </w:rPr>
        <w:t>建筑垃圾</w:t>
      </w:r>
      <w:r>
        <w:rPr>
          <w:rFonts w:eastAsia="仿宋_GB2312;仿宋"/>
          <w:sz w:val="32"/>
          <w:szCs w:val="32"/>
        </w:rPr>
        <w:t>混入生活垃圾中的，由城市市容和环境卫生主管部门责令限期改正；逾期未改正的，处五</w:t>
      </w:r>
      <w:r>
        <w:rPr>
          <w:rFonts w:hint="eastAsia" w:eastAsia="仿宋_GB2312;仿宋"/>
          <w:sz w:val="32"/>
          <w:szCs w:val="32"/>
        </w:rPr>
        <w:t>百</w:t>
      </w:r>
      <w:r>
        <w:rPr>
          <w:rFonts w:eastAsia="仿宋_GB2312;仿宋"/>
          <w:sz w:val="32"/>
          <w:szCs w:val="32"/>
        </w:rPr>
        <w:t>元以上</w:t>
      </w:r>
      <w:r>
        <w:rPr>
          <w:rFonts w:hint="eastAsia" w:eastAsia="仿宋_GB2312;仿宋"/>
          <w:sz w:val="32"/>
          <w:szCs w:val="32"/>
        </w:rPr>
        <w:t>一千</w:t>
      </w:r>
      <w:r>
        <w:rPr>
          <w:rFonts w:eastAsia="仿宋_GB2312;仿宋"/>
          <w:sz w:val="32"/>
          <w:szCs w:val="32"/>
        </w:rPr>
        <w:t>元以下罚款</w:t>
      </w:r>
      <w:r>
        <w:rPr>
          <w:rFonts w:hint="eastAsia" w:eastAsia="仿宋_GB2312;仿宋"/>
          <w:sz w:val="32"/>
          <w:szCs w:val="32"/>
        </w:rPr>
        <w:t>。</w:t>
      </w:r>
    </w:p>
    <w:p>
      <w:pPr>
        <w:pStyle w:val="Normal"/>
        <w:spacing w:lineRule="exact" w:line="596"/>
        <w:ind w:firstLineChars="200" w:startChars="0" w:start="0" w:endChars="0" w:end="0"/>
        <w:rPr>
          <w:rFonts w:eastAsia="仿宋_GB2312;仿宋" w:hint="eastAsia"/>
          <w:b/>
          <w:bCs/>
          <w:sz w:val="32"/>
          <w:szCs w:val="32"/>
        </w:rPr>
      </w:pPr>
      <w:r>
        <w:rPr>
          <w:rFonts w:eastAsia="仿宋_GB2312;仿宋"/>
          <w:sz w:val="32"/>
          <w:szCs w:val="32"/>
        </w:rPr>
        <w:t>违反本办法规定，</w:t>
      </w:r>
      <w:r>
        <w:rPr>
          <w:rFonts w:hint="eastAsia" w:eastAsia="仿宋_GB2312;仿宋"/>
          <w:sz w:val="32"/>
          <w:szCs w:val="32"/>
        </w:rPr>
        <w:t>单位随意倾倒建筑垃圾等废弃物的，</w:t>
      </w:r>
      <w:r>
        <w:rPr>
          <w:rFonts w:eastAsia="仿宋_GB2312;仿宋"/>
          <w:sz w:val="32"/>
          <w:szCs w:val="32"/>
        </w:rPr>
        <w:t>由城市市容和环境卫生主管部门责令改正</w:t>
      </w:r>
      <w:r>
        <w:rPr>
          <w:rFonts w:hint="eastAsia" w:eastAsia="仿宋_GB2312;仿宋"/>
          <w:sz w:val="32"/>
          <w:szCs w:val="32"/>
        </w:rPr>
        <w:t>，处十万元以上一百万元以下罚款。</w:t>
      </w:r>
    </w:p>
    <w:p>
      <w:pPr>
        <w:pStyle w:val="Normal"/>
        <w:spacing w:lineRule="exact" w:line="596"/>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三</w:t>
      </w:r>
      <w:r>
        <w:rPr>
          <w:rFonts w:eastAsia="黑体"/>
          <w:sz w:val="32"/>
          <w:szCs w:val="32"/>
        </w:rPr>
        <w:t>十</w:t>
      </w:r>
      <w:r>
        <w:rPr>
          <w:rFonts w:hint="eastAsia" w:eastAsia="黑体"/>
          <w:sz w:val="32"/>
          <w:szCs w:val="32"/>
        </w:rPr>
        <w:t>九</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违反本办法规定，在公共厕所、垃圾点等周边私搭乱建的，由城市市容和环境卫生主管部门责令改正或者限期清理</w:t>
      </w:r>
      <w:r>
        <w:rPr>
          <w:rFonts w:hint="eastAsia" w:eastAsia="仿宋_GB2312;仿宋"/>
          <w:sz w:val="32"/>
          <w:szCs w:val="32"/>
        </w:rPr>
        <w:t>；</w:t>
      </w:r>
      <w:r>
        <w:rPr>
          <w:rFonts w:eastAsia="仿宋_GB2312;仿宋"/>
          <w:sz w:val="32"/>
          <w:szCs w:val="32"/>
        </w:rPr>
        <w:t>拒不改正或者清理的，对单位处五百元以上二千元以下罚款</w:t>
      </w:r>
      <w:r>
        <w:rPr>
          <w:rFonts w:hint="eastAsia" w:eastAsia="仿宋_GB2312;仿宋"/>
          <w:sz w:val="32"/>
          <w:szCs w:val="32"/>
        </w:rPr>
        <w:t>；</w:t>
      </w:r>
      <w:r>
        <w:rPr>
          <w:rFonts w:eastAsia="仿宋_GB2312;仿宋"/>
          <w:sz w:val="32"/>
          <w:szCs w:val="32"/>
        </w:rPr>
        <w:t>对个人处一百元以上二百元以下罚款。</w:t>
      </w:r>
    </w:p>
    <w:p>
      <w:pPr>
        <w:pStyle w:val="Normal"/>
        <w:spacing w:lineRule="exact" w:line="596"/>
        <w:ind w:firstLineChars="200" w:startChars="0" w:start="0" w:endChars="0" w:end="0"/>
        <w:rPr>
          <w:rFonts w:eastAsia="仿宋_GB2312;仿宋"/>
          <w:sz w:val="32"/>
          <w:szCs w:val="32"/>
        </w:rPr>
      </w:pPr>
      <w:r>
        <w:rPr>
          <w:rFonts w:eastAsia="黑体"/>
          <w:sz w:val="32"/>
          <w:szCs w:val="32"/>
        </w:rPr>
        <w:t>第四十条</w:t>
      </w:r>
      <w:r>
        <w:rPr>
          <w:rFonts w:hint="eastAsia" w:eastAsia="黑体"/>
          <w:sz w:val="32"/>
          <w:szCs w:val="32"/>
        </w:rPr>
        <w:t xml:space="preserve">  </w:t>
      </w:r>
      <w:r>
        <w:rPr>
          <w:rFonts w:hint="eastAsia" w:eastAsia="仿宋_GB2312;仿宋"/>
          <w:sz w:val="32"/>
          <w:szCs w:val="32"/>
        </w:rPr>
        <w:t>有关</w:t>
      </w:r>
      <w:r>
        <w:rPr>
          <w:rFonts w:eastAsia="仿宋_GB2312;仿宋"/>
          <w:sz w:val="32"/>
          <w:szCs w:val="32"/>
        </w:rPr>
        <w:t>国家机关工作人员在城市市容和环境卫生管理工作中玩忽职守、滥用职权、徇私舞弊的，依法给予处分；构成犯罪的，依法追究刑事责任。</w:t>
      </w:r>
    </w:p>
    <w:p>
      <w:pPr>
        <w:pStyle w:val="Normal"/>
        <w:spacing w:lineRule="exact" w:line="596"/>
        <w:ind w:firstLineChars="200" w:startChars="0" w:start="0" w:endChars="0" w:end="0"/>
        <w:rPr>
          <w:rFonts w:eastAsia="仿宋_GB2312;仿宋"/>
          <w:sz w:val="32"/>
          <w:szCs w:val="32"/>
        </w:rPr>
      </w:pPr>
      <w:r>
        <w:rPr>
          <w:rFonts w:eastAsia="仿宋_GB2312;仿宋"/>
          <w:sz w:val="32"/>
          <w:szCs w:val="32"/>
        </w:rPr>
      </w:r>
    </w:p>
    <w:p>
      <w:pPr>
        <w:pStyle w:val="Normal"/>
        <w:spacing w:lineRule="exact" w:line="596"/>
        <w:jc w:val="center"/>
        <w:rPr>
          <w:rFonts w:eastAsia="黑体"/>
          <w:sz w:val="32"/>
          <w:szCs w:val="32"/>
        </w:rPr>
      </w:pPr>
      <w:r>
        <w:rPr>
          <w:rFonts w:eastAsia="黑体"/>
          <w:sz w:val="32"/>
          <w:szCs w:val="32"/>
        </w:rPr>
        <w:t>第五章</w:t>
      </w:r>
      <w:r>
        <w:rPr>
          <w:rFonts w:hint="eastAsia" w:eastAsia="黑体"/>
          <w:sz w:val="32"/>
          <w:szCs w:val="32"/>
        </w:rPr>
        <w:t xml:space="preserve">  </w:t>
      </w:r>
      <w:r>
        <w:rPr>
          <w:rFonts w:eastAsia="黑体"/>
          <w:sz w:val="32"/>
          <w:szCs w:val="32"/>
        </w:rPr>
        <w:t>附</w:t>
      </w:r>
      <w:r>
        <w:rPr>
          <w:rFonts w:hint="eastAsia" w:eastAsia="黑体"/>
          <w:sz w:val="32"/>
          <w:szCs w:val="32"/>
        </w:rPr>
        <w:t xml:space="preserve">  </w:t>
      </w:r>
      <w:r>
        <w:rPr>
          <w:rFonts w:eastAsia="黑体"/>
          <w:sz w:val="32"/>
          <w:szCs w:val="32"/>
        </w:rPr>
        <w:t>则</w:t>
      </w:r>
    </w:p>
    <w:p>
      <w:pPr>
        <w:pStyle w:val="Normal"/>
        <w:spacing w:lineRule="exact" w:line="596"/>
        <w:rPr>
          <w:rFonts w:eastAsia="黑体"/>
          <w:sz w:val="32"/>
          <w:szCs w:val="32"/>
        </w:rPr>
      </w:pPr>
      <w:r>
        <w:rPr>
          <w:rFonts w:eastAsia="黑体"/>
          <w:sz w:val="32"/>
          <w:szCs w:val="32"/>
        </w:rPr>
      </w:r>
    </w:p>
    <w:p>
      <w:pPr>
        <w:pStyle w:val="Normal"/>
        <w:spacing w:lineRule="exact" w:line="596"/>
        <w:ind w:firstLineChars="200" w:startChars="0" w:start="0" w:endChars="0" w:end="0"/>
        <w:rPr>
          <w:rFonts w:eastAsia="仿宋_GB2312;仿宋"/>
          <w:sz w:val="32"/>
          <w:szCs w:val="32"/>
        </w:rPr>
      </w:pPr>
      <w:r>
        <w:rPr>
          <w:rFonts w:eastAsia="黑体"/>
          <w:sz w:val="32"/>
          <w:szCs w:val="32"/>
        </w:rPr>
        <w:t>第四十</w:t>
      </w:r>
      <w:r>
        <w:rPr>
          <w:rFonts w:hint="eastAsia" w:eastAsia="黑体"/>
          <w:sz w:val="32"/>
          <w:szCs w:val="32"/>
        </w:rPr>
        <w:t>一</w:t>
      </w:r>
      <w:r>
        <w:rPr>
          <w:rFonts w:eastAsia="黑体"/>
          <w:sz w:val="32"/>
          <w:szCs w:val="32"/>
        </w:rPr>
        <w:t>条</w:t>
      </w:r>
      <w:r>
        <w:rPr>
          <w:rFonts w:eastAsia="仿宋_GB2312;仿宋"/>
          <w:sz w:val="32"/>
          <w:szCs w:val="32"/>
        </w:rPr>
        <w:t xml:space="preserve">  市政设施、户外广告和餐厨废弃物的管理，依照《大同市市政设施管理办法》《大同市户外广告管理规定》和《大同市餐厨废弃物管理条例》的有关规定执行。</w:t>
      </w:r>
    </w:p>
    <w:p>
      <w:pPr>
        <w:pStyle w:val="Normal"/>
        <w:spacing w:lineRule="exact" w:line="596"/>
        <w:ind w:firstLineChars="200" w:startChars="0" w:start="0" w:endChars="0" w:end="0"/>
        <w:rPr>
          <w:rFonts w:eastAsia="仿宋_GB2312;仿宋" w:hint="eastAsia"/>
          <w:sz w:val="32"/>
          <w:szCs w:val="32"/>
        </w:rPr>
      </w:pPr>
      <w:r>
        <w:rPr>
          <w:rFonts w:eastAsia="黑体"/>
          <w:sz w:val="32"/>
          <w:szCs w:val="32"/>
        </w:rPr>
        <w:t>第四十</w:t>
      </w:r>
      <w:r>
        <w:rPr>
          <w:rFonts w:hint="eastAsia" w:eastAsia="黑体"/>
          <w:sz w:val="32"/>
          <w:szCs w:val="32"/>
        </w:rPr>
        <w:t>二</w:t>
      </w:r>
      <w:r>
        <w:rPr>
          <w:rFonts w:eastAsia="黑体"/>
          <w:sz w:val="32"/>
          <w:szCs w:val="32"/>
        </w:rPr>
        <w:t>条</w:t>
      </w:r>
      <w:r>
        <w:rPr>
          <w:rFonts w:eastAsia="仿宋_GB2312;仿宋"/>
          <w:sz w:val="32"/>
          <w:szCs w:val="32"/>
        </w:rPr>
        <w:t xml:space="preserve"> </w:t>
      </w:r>
      <w:r>
        <w:rPr>
          <w:rFonts w:hint="eastAsia" w:eastAsia="仿宋_GB2312;仿宋"/>
          <w:sz w:val="32"/>
          <w:szCs w:val="32"/>
        </w:rPr>
        <w:t xml:space="preserve"> </w:t>
      </w:r>
      <w:r>
        <w:rPr>
          <w:rFonts w:eastAsia="仿宋_GB2312;仿宋"/>
          <w:sz w:val="32"/>
          <w:szCs w:val="32"/>
        </w:rPr>
        <w:t>本办法自</w:t>
      </w:r>
      <w:r>
        <w:rPr>
          <w:rFonts w:eastAsia="仿宋_GB2312;仿宋"/>
          <w:sz w:val="32"/>
          <w:szCs w:val="32"/>
        </w:rPr>
        <w:t>202</w:t>
      </w:r>
      <w:r>
        <w:rPr>
          <w:rFonts w:eastAsia="仿宋_GB2312;仿宋" w:hint="eastAsia"/>
          <w:sz w:val="32"/>
          <w:szCs w:val="32"/>
        </w:rPr>
        <w:t>1</w:t>
      </w:r>
      <w:r>
        <w:rPr>
          <w:rFonts w:eastAsia="仿宋_GB2312;仿宋"/>
          <w:sz w:val="32"/>
          <w:szCs w:val="32"/>
        </w:rPr>
        <w:t>年</w:t>
      </w:r>
      <w:r>
        <w:rPr>
          <w:rFonts w:eastAsia="仿宋_GB2312;仿宋" w:hint="eastAsia"/>
          <w:sz w:val="32"/>
          <w:szCs w:val="32"/>
        </w:rPr>
        <w:t>5</w:t>
      </w:r>
      <w:r>
        <w:rPr>
          <w:rFonts w:eastAsia="仿宋_GB2312;仿宋"/>
          <w:sz w:val="32"/>
          <w:szCs w:val="32"/>
        </w:rPr>
        <w:t>月</w:t>
      </w:r>
      <w:r>
        <w:rPr>
          <w:rFonts w:eastAsia="仿宋_GB2312;仿宋" w:hint="eastAsia"/>
          <w:sz w:val="32"/>
          <w:szCs w:val="32"/>
        </w:rPr>
        <w:t>1</w:t>
      </w:r>
      <w:r>
        <w:rPr>
          <w:rFonts w:eastAsia="仿宋_GB2312;仿宋"/>
          <w:sz w:val="32"/>
          <w:szCs w:val="32"/>
        </w:rPr>
        <w:t>日起施行。</w:t>
      </w:r>
      <w:r>
        <mc:AlternateContent>
          <mc:Choice Requires="wps">
            <w:drawing>
              <wp:anchor distT="0" distB="0" distL="114935" distR="114935" simplePos="0" relativeHeight="14" behindDoc="0" locked="0" layoutInCell="1" allowOverlap="1">
                <wp:simplePos x="0" y="0"/>
                <wp:positionH relativeFrom="column">
                  <wp:posOffset>2505075</wp:posOffset>
                </wp:positionH>
                <wp:positionV relativeFrom="paragraph">
                  <wp:posOffset>8011795</wp:posOffset>
                </wp:positionV>
                <wp:extent cx="590550" cy="316230"/>
                <wp:effectExtent l="0" t="0" r="0" b="0"/>
                <wp:wrapNone/>
                <wp:docPr id="1" name="Frame2"/>
                <a:graphic xmlns:a="http://schemas.openxmlformats.org/drawingml/2006/main">
                  <a:graphicData uri="http://schemas.microsoft.com/office/word/2010/wordprocessingShape">
                    <wps:wsp>
                      <wps:cNvSpPr txBox="1"/>
                      <wps:spPr>
                        <a:xfrm>
                          <a:off x="0" y="0"/>
                          <a:ext cx="590550" cy="3162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6.5pt;height:24.9pt;mso-wrap-distance-left:9.05pt;mso-wrap-distance-right:9.05pt;mso-wrap-distance-top:0pt;mso-wrap-distance-bottom:0pt;margin-top:630.85pt;mso-position-vertical-relative:text;margin-left:197.25pt;mso-position-horizontal-relative:text">
                <v:textbox>
                  <w:txbxContent>
                    <w:p>
                      <w:pPr>
                        <w:pStyle w:val="Normal"/>
                        <w:rPr/>
                      </w:pPr>
                      <w:r>
                        <w:rPr/>
                      </w:r>
                    </w:p>
                  </w:txbxContent>
                </v:textbox>
                <w10:wrap type="none"/>
              </v:rect>
            </w:pict>
          </mc:Fallback>
        </mc:AlternateContent>
      </w:r>
      <w:r>
        <mc:AlternateContent>
          <mc:Choice Requires="wps">
            <w:drawing>
              <wp:anchor distT="0" distB="0" distL="114935" distR="114935" simplePos="0" relativeHeight="15" behindDoc="0" locked="0" layoutInCell="1" allowOverlap="1">
                <wp:simplePos x="0" y="0"/>
                <wp:positionH relativeFrom="column">
                  <wp:posOffset>2505075</wp:posOffset>
                </wp:positionH>
                <wp:positionV relativeFrom="paragraph">
                  <wp:posOffset>8410575</wp:posOffset>
                </wp:positionV>
                <wp:extent cx="590550" cy="316230"/>
                <wp:effectExtent l="0" t="0" r="0" b="0"/>
                <wp:wrapNone/>
                <wp:docPr id="2" name="Frame1"/>
                <a:graphic xmlns:a="http://schemas.openxmlformats.org/drawingml/2006/main">
                  <a:graphicData uri="http://schemas.microsoft.com/office/word/2010/wordprocessingShape">
                    <wps:wsp>
                      <wps:cNvSpPr txBox="1"/>
                      <wps:spPr>
                        <a:xfrm>
                          <a:off x="0" y="0"/>
                          <a:ext cx="590550" cy="316230"/>
                        </a:xfrm>
                        <a:prstGeom prst="rect"/>
                        <a:solidFill>
                          <a:srgbClr val="FFFFFF"/>
                        </a:solidFill>
                        <a:ln w="9525">
                          <a:solidFill>
                            <a:srgbClr val="FFFFFF"/>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FFFFFF" strokeweight="0pt" style="position:absolute;rotation:-0;width:46.5pt;height:24.9pt;mso-wrap-distance-left:9.05pt;mso-wrap-distance-right:9.05pt;mso-wrap-distance-top:0pt;mso-wrap-distance-bottom:0pt;margin-top:662.25pt;mso-position-vertical-relative:text;margin-left:197.25pt;mso-position-horizontal-relative:text">
                <v:textbox>
                  <w:txbxContent>
                    <w:p>
                      <w:pPr>
                        <w:pStyle w:val="Normal"/>
                        <w:rPr/>
                      </w:pPr>
                      <w:r>
                        <w:rPr/>
                      </w:r>
                    </w:p>
                  </w:txbxContent>
                </v:textbox>
                <w10:wrap type="none"/>
              </v:rect>
            </w:pict>
          </mc:Fallback>
        </mc:AlternateContent>
      </w:r>
    </w:p>
    <w:p>
      <w:pPr>
        <w:pStyle w:val="Normal"/>
        <w:spacing w:lineRule="exact" w:line="596"/>
        <w:rPr>
          <w:rFonts w:eastAsia="仿宋_GB2312;仿宋" w:hint="eastAsia"/>
          <w:sz w:val="32"/>
          <w:szCs w:val="32"/>
        </w:rPr>
      </w:pPr>
      <w:r>
        <w:rPr>
          <w:rFonts w:eastAsia="仿宋_GB2312;仿宋" w:hint="eastAsia"/>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napToGrid w:val="false"/>
        <w:spacing w:lineRule="exact" w:line="596"/>
        <w:rPr>
          <w:rFonts w:eastAsia="仿宋_GB2312;仿宋"/>
          <w:spacing w:val="-6"/>
          <w:sz w:val="32"/>
          <w:szCs w:val="32"/>
        </w:rPr>
      </w:pPr>
      <w:r>
        <w:rPr>
          <w:rFonts w:eastAsia="仿宋_GB2312;仿宋"/>
          <w:spacing w:val="-6"/>
          <w:sz w:val="32"/>
          <w:szCs w:val="32"/>
        </w:rPr>
      </w:r>
    </w:p>
    <w:p>
      <w:pPr>
        <w:pStyle w:val="Normal"/>
        <w:spacing w:lineRule="exact" w:line="596"/>
        <w:jc w:val="center"/>
        <w:rPr>
          <w:rFonts w:ascii="宋体" w:hAnsi="宋体" w:eastAsia="仿宋_GB2312;仿宋" w:cs="宋体" w:hint="eastAsia"/>
          <w:spacing w:val="-6"/>
          <w:sz w:val="44"/>
          <w:szCs w:val="44"/>
        </w:rPr>
      </w:pPr>
      <w:r>
        <w:rPr>
          <w:rFonts w:eastAsia="仿宋_GB2312;仿宋" w:cs="宋体" w:hint="eastAsia" w:ascii="宋体" w:hAnsi="宋体"/>
          <w:spacing w:val="-6"/>
          <w:sz w:val="44"/>
          <w:szCs w:val="44"/>
        </w:rPr>
      </w:r>
    </w:p>
    <w:sectPr>
      <w:footerReference w:type="default" r:id="rId2"/>
      <w:type w:val="nextPage"/>
      <w:pgSz w:w="11906" w:h="16838"/>
      <w:pgMar w:left="1588" w:right="1588" w:gutter="0" w:header="0" w:top="1701"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Calibri">
    <w:charset w:val="00" w:characterSet="windows-1252"/>
    <w:family w:val="swiss"/>
    <w:pitch w:val="default"/>
  </w:font>
  <w:font w:name="黑体">
    <w:charset w:val="86"/>
    <w:family w:val="auto"/>
    <w:pitch w:val="default"/>
  </w:font>
  <w:font w:name="宋体">
    <w:charset w:val="86"/>
    <w:family w:val="auto"/>
    <w:pitch w:val="default"/>
  </w:font>
  <w:font w:name="方正小标宋简体">
    <w:charset w:val="86"/>
    <w:family w:val="auto"/>
    <w:pitch w:val="default"/>
  </w:font>
  <w:font w:name="楷体">
    <w:charset w:val="86"/>
    <w:family w:val="modern"/>
    <w:pitch w:val="default"/>
  </w:font>
  <w:font w:name="楷体_GB2312">
    <w:altName w:val="楷体"/>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4"/>
        <w:szCs w:val="24"/>
      </w:rPr>
    </w:pPr>
    <w:r>
      <w:rPr>
        <w:sz w:val="24"/>
        <w:szCs w:val="24"/>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554990" cy="605790"/>
              <wp:effectExtent l="0" t="0" r="0" b="0"/>
              <wp:wrapNone/>
              <wp:docPr id="3" name="Frame3"/>
              <a:graphic xmlns:a="http://schemas.openxmlformats.org/drawingml/2006/main">
                <a:graphicData uri="http://schemas.microsoft.com/office/word/2010/wordprocessingShape">
                  <wps:wsp>
                    <wps:cNvSpPr txBox="1"/>
                    <wps:spPr>
                      <a:xfrm>
                        <a:off x="0" y="0"/>
                        <a:ext cx="554990" cy="605790"/>
                      </a:xfrm>
                      <a:prstGeom prst="rect"/>
                      <a:solidFill>
                        <a:srgbClr val="FFFFFF">
                          <a:alpha val="0"/>
                        </a:srgbClr>
                      </a:solidFill>
                    </wps:spPr>
                    <wps:txbx>
                      <w:txbxContent>
                        <w:p>
                          <w:pPr>
                            <w:pStyle w:val="Footer"/>
                            <w:ind w:firstLineChars="0" w:firstLine="0" w:startChars="150" w:endChars="150"/>
                            <w:jc w:val="center"/>
                            <w:rPr/>
                          </w:pPr>
                          <w:r>
                            <w:rPr>
                              <w:rFonts w:cs="宋体" w:hint="eastAsia" w:ascii="宋体" w:hAnsi="宋体"/>
                              <w:kern w:val="0"/>
                              <w:sz w:val="28"/>
                              <w:szCs w:val="28"/>
                            </w:rPr>
                            <w:t>—</w:t>
                          </w:r>
                          <w:r>
                            <w:rPr>
                              <w:rFonts w:cs="宋体" w:hint="eastAsia" w:ascii="宋体" w:hAnsi="宋体"/>
                              <w:kern w:val="0"/>
                              <w:sz w:val="28"/>
                              <w:szCs w:val="28"/>
                            </w:rPr>
                            <w:fldChar w:fldCharType="begin"/>
                          </w:r>
                          <w:r>
                            <w:rPr>
                              <w:rFonts w:cs="宋体" w:hint="eastAsia" w:ascii="宋体" w:hAnsi="宋体"/>
                              <w:kern w:val="0"/>
                              <w:sz w:val="28"/>
                              <w:szCs w:val="28"/>
                            </w:rPr>
                            <w:instrText xml:space="preserve"> PAGE </w:instrText>
                          </w:r>
                          <w:r>
                            <w:rPr>
                              <w:rFonts w:cs="宋体" w:hint="eastAsia" w:ascii="宋体" w:hAnsi="宋体"/>
                              <w:kern w:val="0"/>
                              <w:sz w:val="28"/>
                              <w:szCs w:val="28"/>
                            </w:rPr>
                            <w:fldChar w:fldCharType="separate"/>
                          </w:r>
                          <w:r>
                            <w:rPr>
                              <w:rFonts w:cs="宋体" w:hint="eastAsia" w:ascii="宋体" w:hAnsi="宋体"/>
                              <w:kern w:val="0"/>
                              <w:sz w:val="28"/>
                              <w:szCs w:val="28"/>
                            </w:rPr>
                            <w:t>12</w:t>
                          </w:r>
                          <w:r>
                            <w:rPr>
                              <w:rFonts w:cs="宋体" w:hint="eastAsia" w:ascii="宋体" w:hAnsi="宋体"/>
                              <w:kern w:val="0"/>
                              <w:sz w:val="28"/>
                              <w:szCs w:val="28"/>
                            </w:rPr>
                            <w:fldChar w:fldCharType="end"/>
                          </w:r>
                          <w:r>
                            <w:rPr>
                              <w:rFonts w:cs="宋体" w:hint="eastAsia" w:ascii="宋体" w:hAnsi="宋体"/>
                              <w:kern w:val="0"/>
                              <w:sz w:val="28"/>
                              <w:szCs w:val="28"/>
                            </w:rPr>
                            <w:t>—</w:t>
                          </w:r>
                        </w:p>
                      </w:txbxContent>
                    </wps:txbx>
                    <wps:bodyPr anchor="t" lIns="635" tIns="635" rIns="635" bIns="635">
                      <a:spAutoFit/>
                    </wps:bodyPr>
                  </wps:wsp>
                </a:graphicData>
              </a:graphic>
            </wp:anchor>
          </w:drawing>
        </mc:Choice>
        <mc:Fallback>
          <w:pict>
            <v:rect fillcolor="#FFFFFF" style="position:absolute;rotation:-0;width:43.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50" w:endChars="150"/>
                      <w:jc w:val="center"/>
                      <w:rPr/>
                    </w:pPr>
                    <w:r>
                      <w:rPr>
                        <w:rFonts w:cs="宋体" w:hint="eastAsia" w:ascii="宋体" w:hAnsi="宋体"/>
                        <w:kern w:val="0"/>
                        <w:sz w:val="28"/>
                        <w:szCs w:val="28"/>
                      </w:rPr>
                      <w:t>—</w:t>
                    </w:r>
                    <w:r>
                      <w:rPr>
                        <w:rFonts w:cs="宋体" w:hint="eastAsia" w:ascii="宋体" w:hAnsi="宋体"/>
                        <w:kern w:val="0"/>
                        <w:sz w:val="28"/>
                        <w:szCs w:val="28"/>
                      </w:rPr>
                      <w:fldChar w:fldCharType="begin"/>
                    </w:r>
                    <w:r>
                      <w:rPr>
                        <w:rFonts w:cs="宋体" w:hint="eastAsia" w:ascii="宋体" w:hAnsi="宋体"/>
                        <w:kern w:val="0"/>
                        <w:sz w:val="28"/>
                        <w:szCs w:val="28"/>
                      </w:rPr>
                      <w:instrText xml:space="preserve"> PAGE </w:instrText>
                    </w:r>
                    <w:r>
                      <w:rPr>
                        <w:rFonts w:cs="宋体" w:hint="eastAsia" w:ascii="宋体" w:hAnsi="宋体"/>
                        <w:kern w:val="0"/>
                        <w:sz w:val="28"/>
                        <w:szCs w:val="28"/>
                      </w:rPr>
                      <w:fldChar w:fldCharType="separate"/>
                    </w:r>
                    <w:r>
                      <w:rPr>
                        <w:rFonts w:cs="宋体" w:hint="eastAsia" w:ascii="宋体" w:hAnsi="宋体"/>
                        <w:kern w:val="0"/>
                        <w:sz w:val="28"/>
                        <w:szCs w:val="28"/>
                      </w:rPr>
                      <w:t>12</w:t>
                    </w:r>
                    <w:r>
                      <w:rPr>
                        <w:rFonts w:cs="宋体" w:hint="eastAsia" w:ascii="宋体" w:hAnsi="宋体"/>
                        <w:kern w:val="0"/>
                        <w:sz w:val="28"/>
                        <w:szCs w:val="28"/>
                      </w:rPr>
                      <w:fldChar w:fldCharType="end"/>
                    </w:r>
                    <w:r>
                      <w:rPr>
                        <w:rFonts w:cs="宋体" w:hint="eastAsia" w:ascii="宋体" w:hAnsi="宋体"/>
                        <w:kern w:val="0"/>
                        <w:sz w:val="28"/>
                        <w:szCs w:val="28"/>
                      </w:rPr>
                      <w:t>—</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rPr>
      <w:rFonts w:cs="Times New Roman"/>
    </w:rPr>
  </w:style>
  <w:style w:type="character" w:styleId="NormalCharacter">
    <w:name w:val="NormalCharacter"/>
    <w:qFormat/>
    <w:rPr>
      <w:rFonts w:ascii="Tahoma" w:hAnsi="Tahoma" w:eastAsia="微软雅黑" w:cs="Times New Roman"/>
      <w:kern w:val="0"/>
      <w:sz w:val="22"/>
      <w:szCs w:val="2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rFonts w:ascii="Calibri" w:hAnsi="Calibri" w:cs="Calibri"/>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2021-01-19T01:48:00Z</dcterms:created>
  <dc:creator>Administrator</dc:creator>
  <dc:description/>
  <dc:language>en-US</dc:language>
  <cp:lastModifiedBy>此生无悔</cp:lastModifiedBy>
  <cp:lastPrinted>2021-01-15T17:31:00Z</cp:lastPrinted>
  <dcterms:modified xsi:type="dcterms:W3CDTF">2021-03-10T11:05:20Z</dcterms:modified>
  <cp:revision>3</cp:revision>
  <dc:subject/>
  <dc:title>关于《大同市大气污染防治条例（草案）》的说明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