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78"/>
        <w:ind w:firstLineChars="6" w:endChars="0" w:end="0"/>
        <w:rPr>
          <w:rFonts w:eastAsia="仿宋_GB2312" w:hint="eastAsia"/>
          <w:bCs/>
          <w:sz w:val="32"/>
          <w:szCs w:val="32"/>
        </w:rPr>
      </w:pPr>
      <w:r>
        <w:rPr>
          <w:rFonts w:eastAsia="仿宋_GB2312" w:hint="eastAsia"/>
          <w:bCs/>
          <w:sz w:val="32"/>
          <w:szCs w:val="32"/>
        </w:rPr>
      </w:r>
    </w:p>
    <w:p>
      <w:pPr>
        <w:pStyle w:val="Normal"/>
        <w:snapToGrid w:val="false"/>
        <w:spacing w:lineRule="exact" w:line="578"/>
        <w:ind w:firstLineChars="6" w:endChars="0" w:end="0"/>
        <w:rPr>
          <w:rFonts w:eastAsia="仿宋_GB2312" w:hint="eastAsia"/>
          <w:bCs/>
          <w:sz w:val="32"/>
          <w:szCs w:val="32"/>
        </w:rPr>
      </w:pPr>
      <w:r>
        <w:rPr>
          <w:rFonts w:eastAsia="仿宋_GB2312" w:hint="eastAsia"/>
          <w:bCs/>
          <w:sz w:val="32"/>
          <w:szCs w:val="32"/>
        </w:rPr>
      </w:r>
    </w:p>
    <w:p>
      <w:pPr>
        <w:pStyle w:val="Normal"/>
        <w:snapToGrid w:val="false"/>
        <w:spacing w:lineRule="exact" w:line="578"/>
        <w:ind w:firstLineChars="6" w:endChars="0" w:end="0"/>
        <w:jc w:val="center"/>
        <w:rPr>
          <w:rFonts w:ascii="宋体;SimSun" w:hAnsi="宋体;SimSun" w:cs="宋体;SimSun"/>
          <w:bCs/>
          <w:sz w:val="44"/>
          <w:szCs w:val="44"/>
        </w:rPr>
      </w:pPr>
      <w:r>
        <w:rPr>
          <w:rFonts w:ascii="宋体;SimSun" w:hAnsi="宋体;SimSun" w:cs="宋体;SimSun"/>
          <w:bCs/>
          <w:sz w:val="44"/>
          <w:szCs w:val="44"/>
        </w:rPr>
        <w:t>太原市晋阳古城遗址保护管理条例</w:t>
      </w:r>
    </w:p>
    <w:p>
      <w:pPr>
        <w:pStyle w:val="Normal"/>
        <w:snapToGrid w:val="false"/>
        <w:spacing w:lineRule="exact" w:line="578"/>
        <w:ind w:firstLineChars="6" w:endChars="200"/>
        <w:rPr>
          <w:rFonts w:ascii="宋体;SimSun" w:hAnsi="宋体;SimSun" w:eastAsia="仿宋_GB2312" w:cs="宋体;SimSun" w:hint="eastAsia"/>
          <w:bCs/>
          <w:sz w:val="32"/>
          <w:szCs w:val="32"/>
        </w:rPr>
      </w:pPr>
      <w:r>
        <w:rPr>
          <w:rFonts w:eastAsia="仿宋_GB2312" w:cs="宋体;SimSun" w:hint="eastAsia" w:ascii="宋体;SimSun" w:hAnsi="宋体;SimSun"/>
          <w:bCs/>
          <w:sz w:val="32"/>
          <w:szCs w:val="32"/>
        </w:rPr>
      </w:r>
    </w:p>
    <w:p>
      <w:pPr>
        <w:pStyle w:val="Normal"/>
        <w:snapToGrid w:val="false"/>
        <w:spacing w:lineRule="exact" w:line="578"/>
        <w:ind w:firstLineChars="6" w:startChars="320" w:endChars="280"/>
        <w:jc w:val="both"/>
        <w:rPr/>
      </w:pPr>
      <w:r>
        <w:rPr>
          <w:rFonts w:ascii="楷体_GB2312" w:hAnsi="楷体_GB2312" w:hint="eastAsia" w:eastAsia="楷体_GB2312"/>
          <w:sz w:val="32"/>
          <w:szCs w:val="32"/>
        </w:rPr>
        <w:t>（</w:t>
      </w:r>
      <w:r>
        <w:rPr>
          <w:rFonts w:eastAsia="楷体_GB2312" w:hint="eastAsia" w:ascii="楷体_GB2312" w:hAnsi="楷体_GB2312"/>
          <w:sz w:val="32"/>
          <w:szCs w:val="32"/>
        </w:rPr>
        <w:t>2006</w:t>
      </w:r>
      <w:r>
        <w:rPr>
          <w:rFonts w:ascii="楷体_GB2312" w:hAnsi="楷体_GB2312" w:hint="eastAsia" w:eastAsia="楷体_GB2312"/>
          <w:sz w:val="32"/>
          <w:szCs w:val="32"/>
        </w:rPr>
        <w:t>年</w:t>
      </w:r>
      <w:r>
        <w:rPr>
          <w:rFonts w:eastAsia="楷体_GB2312" w:hint="eastAsia" w:ascii="楷体_GB2312" w:hAnsi="楷体_GB2312"/>
          <w:sz w:val="32"/>
          <w:szCs w:val="32"/>
        </w:rPr>
        <w:t>10</w:t>
      </w:r>
      <w:r>
        <w:rPr>
          <w:rFonts w:ascii="楷体_GB2312" w:hAnsi="楷体_GB2312" w:hint="eastAsia" w:eastAsia="楷体_GB2312"/>
          <w:sz w:val="32"/>
          <w:szCs w:val="32"/>
        </w:rPr>
        <w:t>月</w:t>
      </w:r>
      <w:r>
        <w:rPr>
          <w:rFonts w:eastAsia="楷体_GB2312" w:hint="eastAsia" w:ascii="楷体_GB2312" w:hAnsi="楷体_GB2312"/>
          <w:sz w:val="32"/>
          <w:szCs w:val="32"/>
        </w:rPr>
        <w:t>25</w:t>
      </w:r>
      <w:r>
        <w:rPr>
          <w:rFonts w:ascii="楷体_GB2312" w:hAnsi="楷体_GB2312" w:hint="eastAsia" w:eastAsia="楷体_GB2312"/>
          <w:sz w:val="32"/>
          <w:szCs w:val="32"/>
        </w:rPr>
        <w:t>日太原市第十一届人民代表大会常务委员会第三十七次会议通过　</w:t>
      </w:r>
      <w:r>
        <w:rPr>
          <w:rFonts w:eastAsia="楷体_GB2312" w:hint="eastAsia" w:ascii="楷体_GB2312" w:hAnsi="楷体_GB2312"/>
          <w:sz w:val="32"/>
          <w:szCs w:val="32"/>
        </w:rPr>
        <w:t>2006</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 xml:space="preserve">30 </w:t>
      </w:r>
      <w:r>
        <w:rPr>
          <w:rFonts w:ascii="楷体_GB2312" w:hAnsi="楷体_GB2312" w:hint="eastAsia" w:eastAsia="楷体_GB2312"/>
          <w:sz w:val="32"/>
          <w:szCs w:val="32"/>
        </w:rPr>
        <w:t>日山西省第十届人民代表大会常务委员会第二十七次会议批准　根据</w:t>
      </w:r>
      <w:r>
        <w:rPr>
          <w:rFonts w:eastAsia="楷体_GB2312" w:hint="eastAsia" w:ascii="楷体_GB2312" w:hAnsi="楷体_GB2312"/>
          <w:sz w:val="32"/>
          <w:szCs w:val="32"/>
        </w:rPr>
        <w:t>2017</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1</w:t>
      </w:r>
      <w:r>
        <w:rPr>
          <w:rFonts w:ascii="楷体_GB2312" w:hAnsi="楷体_GB2312" w:hint="eastAsia" w:eastAsia="楷体_GB2312"/>
          <w:sz w:val="32"/>
          <w:szCs w:val="32"/>
        </w:rPr>
        <w:t>日山西省第十二届人民代表大会常务委员会第四十二次会议批准的</w:t>
      </w:r>
      <w:r>
        <w:rPr>
          <w:rFonts w:eastAsia="楷体_GB2312" w:hint="eastAsia" w:ascii="楷体_GB2312" w:hAnsi="楷体_GB2312"/>
          <w:sz w:val="32"/>
          <w:szCs w:val="32"/>
        </w:rPr>
        <w:t>2017</w:t>
      </w:r>
      <w:r>
        <w:rPr>
          <w:rFonts w:ascii="楷体_GB2312" w:hAnsi="楷体_GB2312" w:hint="eastAsia" w:eastAsia="楷体_GB2312"/>
          <w:sz w:val="32"/>
          <w:szCs w:val="32"/>
        </w:rPr>
        <w:t>年</w:t>
      </w:r>
      <w:r>
        <w:rPr>
          <w:rFonts w:eastAsia="楷体_GB2312" w:hint="eastAsia" w:ascii="楷体_GB2312" w:hAnsi="楷体_GB2312"/>
          <w:sz w:val="32"/>
          <w:szCs w:val="32"/>
        </w:rPr>
        <w:t>8</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日太原市第十四届人民代表大会常务委员会第五次会议通过的《太原市人民代表大会常务委员会关于修改〈太原市晋祠保护条例〉等五部地方性法规的决定》修正）</w:t>
      </w:r>
    </w:p>
    <w:p>
      <w:pPr>
        <w:pStyle w:val="Normal"/>
        <w:snapToGrid w:val="false"/>
        <w:spacing w:lineRule="exact" w:line="578"/>
        <w:ind w:endChars="0" w:end="0"/>
        <w:rPr>
          <w:rFonts w:ascii="楷体_GB2312" w:hAnsi="楷体_GB2312" w:eastAsia="仿宋_GB2312" w:hint="eastAsia"/>
          <w:sz w:val="32"/>
          <w:szCs w:val="32"/>
        </w:rPr>
      </w:pPr>
      <w:r>
        <w:rPr>
          <w:rFonts w:eastAsia="仿宋_GB2312" w:hint="eastAsia" w:ascii="楷体_GB2312" w:hAnsi="楷体_GB2312"/>
          <w:sz w:val="32"/>
          <w:szCs w:val="32"/>
        </w:rPr>
      </w:r>
    </w:p>
    <w:p>
      <w:pPr>
        <w:pStyle w:val="Normal"/>
        <w:snapToGrid w:val="false"/>
        <w:spacing w:lineRule="exact" w:line="578"/>
        <w:ind w:firstLineChars="6" w:endChars="0" w:end="0"/>
        <w:jc w:val="center"/>
        <w:rPr>
          <w:rFonts w:ascii="黑体;SimHei" w:hAnsi="黑体;SimHei" w:eastAsia="黑体;SimHei" w:hint="eastAsia"/>
          <w:sz w:val="32"/>
          <w:szCs w:val="32"/>
        </w:rPr>
      </w:pPr>
      <w:r>
        <w:rPr>
          <w:rFonts w:ascii="黑体;SimHei" w:hAnsi="黑体;SimHei" w:hint="eastAsia" w:eastAsia="黑体;SimHei"/>
          <w:sz w:val="32"/>
          <w:szCs w:val="32"/>
        </w:rPr>
        <w:t>第一章  总则</w:t>
      </w:r>
    </w:p>
    <w:p>
      <w:pPr>
        <w:pStyle w:val="Normal"/>
        <w:snapToGrid w:val="false"/>
        <w:spacing w:lineRule="exact" w:line="578"/>
        <w:ind w:endChars="0" w:end="0"/>
        <w:rPr>
          <w:rFonts w:ascii="黑体;SimHei" w:hAnsi="黑体;SimHei" w:eastAsia="仿宋_GB2312" w:hint="eastAsia"/>
          <w:sz w:val="32"/>
          <w:szCs w:val="32"/>
        </w:rPr>
      </w:pPr>
      <w:r>
        <w:rPr>
          <w:rFonts w:eastAsia="仿宋_GB2312" w:hint="eastAsia" w:ascii="黑体;SimHei" w:hAnsi="黑体;SimHei"/>
          <w:sz w:val="32"/>
          <w:szCs w:val="32"/>
        </w:rPr>
      </w:r>
    </w:p>
    <w:p>
      <w:pPr>
        <w:pStyle w:val="Normal"/>
        <w:snapToGrid w:val="false"/>
        <w:spacing w:lineRule="exact" w:line="578"/>
        <w:ind w:endChars="0" w:end="0"/>
        <w:rPr/>
      </w:pPr>
      <w:r>
        <w:rPr>
          <w:rFonts w:ascii="黑体;SimHei" w:hAnsi="黑体;SimHei" w:hint="eastAsia" w:eastAsia="黑体;SimHei"/>
          <w:sz w:val="32"/>
          <w:szCs w:val="32"/>
        </w:rPr>
        <w:t>第一条</w:t>
      </w:r>
      <w:r>
        <w:rPr>
          <w:rFonts w:eastAsia="仿宋_GB2312"/>
          <w:sz w:val="32"/>
          <w:szCs w:val="32"/>
        </w:rPr>
        <w:t xml:space="preserve">  为了加强晋阳古城遗址的保护管理，继承优秀历史文化遗产，发挥文物在经济社会发展中的作用</w:t>
      </w:r>
      <w:r>
        <w:rPr>
          <w:rFonts w:eastAsia="仿宋_GB2312"/>
          <w:sz w:val="32"/>
          <w:szCs w:val="32"/>
        </w:rPr>
        <w:t xml:space="preserve">, </w:t>
      </w:r>
      <w:r>
        <w:rPr>
          <w:rFonts w:eastAsia="仿宋_GB2312"/>
          <w:sz w:val="32"/>
          <w:szCs w:val="32"/>
        </w:rPr>
        <w:t>惠及城市建设和人民生活，根据有关法律、法规的规定，结合本市实际</w:t>
      </w:r>
      <w:r>
        <w:rPr>
          <w:rFonts w:eastAsia="仿宋_GB2312"/>
          <w:sz w:val="32"/>
          <w:szCs w:val="32"/>
        </w:rPr>
        <w:t>,</w:t>
      </w:r>
      <w:r>
        <w:rPr>
          <w:rFonts w:eastAsia="仿宋_GB2312"/>
          <w:sz w:val="32"/>
          <w:szCs w:val="32"/>
        </w:rPr>
        <w:t>制定本条例。</w:t>
      </w:r>
    </w:p>
    <w:p>
      <w:pPr>
        <w:pStyle w:val="Normal"/>
        <w:snapToGrid w:val="false"/>
        <w:spacing w:lineRule="exact" w:line="578"/>
        <w:ind w:endChars="0" w:end="0"/>
        <w:rPr/>
      </w:pPr>
      <w:r>
        <w:rPr>
          <w:rFonts w:ascii="黑体;SimHei" w:hAnsi="黑体;SimHei" w:hint="eastAsia" w:eastAsia="黑体;SimHei"/>
          <w:sz w:val="32"/>
          <w:szCs w:val="32"/>
        </w:rPr>
        <w:t>第二条</w:t>
      </w:r>
      <w:r>
        <w:rPr>
          <w:rFonts w:eastAsia="仿宋_GB2312"/>
          <w:sz w:val="32"/>
          <w:szCs w:val="32"/>
        </w:rPr>
        <w:t xml:space="preserve">  晋阳古城遗址是经国务院公布的全国重点文物保护单位。</w:t>
      </w:r>
    </w:p>
    <w:p>
      <w:pPr>
        <w:pStyle w:val="Normal"/>
        <w:snapToGrid w:val="false"/>
        <w:spacing w:lineRule="exact" w:line="578"/>
        <w:ind w:endChars="0" w:end="0"/>
        <w:rPr>
          <w:rFonts w:eastAsia="仿宋_GB2312"/>
          <w:sz w:val="32"/>
          <w:szCs w:val="32"/>
        </w:rPr>
      </w:pPr>
      <w:r>
        <w:rPr>
          <w:rFonts w:eastAsia="仿宋_GB2312"/>
          <w:sz w:val="32"/>
          <w:szCs w:val="32"/>
        </w:rPr>
        <w:t>在晋阳古城遗址保护范围内进行文物保护管理、生产生活、工程建设、经营服务、旅游开发、参观游览等活动的组织和个人，应当遵守本条例。</w:t>
      </w:r>
    </w:p>
    <w:p>
      <w:pPr>
        <w:pStyle w:val="Normal"/>
        <w:snapToGrid w:val="false"/>
        <w:spacing w:lineRule="exact" w:line="578"/>
        <w:ind w:endChars="0" w:end="0"/>
        <w:rPr>
          <w:rFonts w:eastAsia="仿宋_GB2312"/>
          <w:sz w:val="32"/>
          <w:szCs w:val="32"/>
        </w:rPr>
      </w:pPr>
      <w:r>
        <w:rPr>
          <w:rFonts w:eastAsia="仿宋_GB2312"/>
          <w:sz w:val="32"/>
          <w:szCs w:val="32"/>
        </w:rPr>
        <w:t>本条例所称晋阳古城遗址是指主要分布于晋源区晋祠镇政府、金胜镇政府、晋源街道办事处、罗城街道办事处辖区内的城池遗址、宗教寺观遗址、地下埋藏遗址等文化遗址群落。</w:t>
      </w:r>
    </w:p>
    <w:p>
      <w:pPr>
        <w:pStyle w:val="Normal"/>
        <w:snapToGrid w:val="false"/>
        <w:spacing w:lineRule="exact" w:line="578"/>
        <w:ind w:endChars="0" w:end="0"/>
        <w:rPr/>
      </w:pPr>
      <w:r>
        <w:rPr>
          <w:rFonts w:ascii="黑体;SimHei" w:hAnsi="黑体;SimHei" w:hint="eastAsia" w:eastAsia="黑体;SimHei"/>
          <w:sz w:val="32"/>
          <w:szCs w:val="32"/>
        </w:rPr>
        <w:t>第三条</w:t>
      </w:r>
      <w:r>
        <w:rPr>
          <w:rFonts w:hint="eastAsia" w:eastAsia="仿宋_GB2312"/>
          <w:sz w:val="32"/>
          <w:szCs w:val="32"/>
        </w:rPr>
        <w:t>　</w:t>
      </w:r>
      <w:r>
        <w:rPr>
          <w:rFonts w:eastAsia="仿宋_GB2312"/>
          <w:sz w:val="32"/>
          <w:szCs w:val="32"/>
        </w:rPr>
        <w:t>晋阳古城遗址的保护管理应当遵循长期规划与分步实施、有效保护与合理利用、继承历史文化遗产与创新文化氛围、挖掘晋阳文化内涵与促进经济社会发展相结合的原则，确保晋阳古城遗址及其历史风貌和自然环境的真实性、完整性。</w:t>
      </w:r>
    </w:p>
    <w:p>
      <w:pPr>
        <w:pStyle w:val="Normal"/>
        <w:snapToGrid w:val="false"/>
        <w:spacing w:lineRule="exact" w:line="578"/>
        <w:ind w:endChars="0" w:end="0"/>
        <w:rPr/>
      </w:pPr>
      <w:r>
        <w:rPr>
          <w:rFonts w:ascii="黑体;SimHei" w:hAnsi="黑体;SimHei" w:hint="eastAsia" w:eastAsia="黑体;SimHei"/>
          <w:sz w:val="32"/>
          <w:szCs w:val="32"/>
        </w:rPr>
        <w:t>第四条</w:t>
      </w:r>
      <w:r>
        <w:rPr>
          <w:rFonts w:eastAsia="仿宋_GB2312"/>
          <w:sz w:val="32"/>
          <w:szCs w:val="32"/>
        </w:rPr>
        <w:t xml:space="preserve">  市人民政府应当将晋阳古城遗址保护列入本市国民经济和社会发展规划及城市总体规划。 </w:t>
      </w:r>
    </w:p>
    <w:p>
      <w:pPr>
        <w:pStyle w:val="Normal"/>
        <w:snapToGrid w:val="false"/>
        <w:spacing w:lineRule="exact" w:line="578"/>
        <w:ind w:endChars="0" w:end="0"/>
        <w:rPr/>
      </w:pPr>
      <w:r>
        <w:rPr>
          <w:rFonts w:ascii="黑体;SimHei" w:hAnsi="黑体;SimHei" w:hint="eastAsia" w:eastAsia="黑体;SimHei"/>
          <w:sz w:val="32"/>
          <w:szCs w:val="32"/>
        </w:rPr>
        <w:t>第五条</w:t>
      </w:r>
      <w:r>
        <w:rPr>
          <w:rFonts w:hint="eastAsia" w:eastAsia="仿宋_GB2312"/>
          <w:sz w:val="32"/>
          <w:szCs w:val="32"/>
        </w:rPr>
        <w:t>　</w:t>
      </w:r>
      <w:r>
        <w:rPr>
          <w:rFonts w:eastAsia="仿宋_GB2312"/>
          <w:sz w:val="32"/>
          <w:szCs w:val="32"/>
        </w:rPr>
        <w:t>市文物行政部门主管晋阳古城遗址的保护管理工作。</w:t>
      </w:r>
    </w:p>
    <w:p>
      <w:pPr>
        <w:pStyle w:val="Normal"/>
        <w:snapToGrid w:val="false"/>
        <w:spacing w:lineRule="exact" w:line="578"/>
        <w:ind w:endChars="0" w:end="0"/>
        <w:rPr>
          <w:rFonts w:eastAsia="仿宋_GB2312"/>
          <w:sz w:val="32"/>
          <w:szCs w:val="32"/>
        </w:rPr>
      </w:pPr>
      <w:r>
        <w:rPr>
          <w:rFonts w:eastAsia="仿宋_GB2312"/>
          <w:sz w:val="32"/>
          <w:szCs w:val="32"/>
        </w:rPr>
        <w:t>市人民政府应当根据《中华人民共和国文物保护法》的规定设立晋阳古城遗址保护管理机构。市文物行政部门可以委托晋阳古城遗址保护管理机构负责晋阳古城遗址的保护、管理、展示、利用等工作。</w:t>
      </w:r>
    </w:p>
    <w:p>
      <w:pPr>
        <w:pStyle w:val="Normal"/>
        <w:snapToGrid w:val="false"/>
        <w:spacing w:lineRule="exact" w:line="578"/>
        <w:ind w:endChars="0" w:end="0"/>
        <w:rPr>
          <w:rFonts w:eastAsia="仿宋_GB2312"/>
          <w:sz w:val="32"/>
          <w:szCs w:val="32"/>
        </w:rPr>
      </w:pPr>
      <w:r>
        <w:rPr>
          <w:rFonts w:eastAsia="仿宋_GB2312"/>
          <w:sz w:val="32"/>
          <w:szCs w:val="32"/>
        </w:rPr>
        <w:t>市人民政府有关部门按照各自职责做好晋阳古城遗址保护管理的相关工作。</w:t>
      </w:r>
    </w:p>
    <w:p>
      <w:pPr>
        <w:pStyle w:val="Normal"/>
        <w:snapToGrid w:val="false"/>
        <w:spacing w:lineRule="exact" w:line="578"/>
        <w:ind w:endChars="0" w:end="0"/>
        <w:rPr>
          <w:rFonts w:eastAsia="仿宋_GB2312"/>
          <w:sz w:val="32"/>
          <w:szCs w:val="32"/>
        </w:rPr>
      </w:pPr>
      <w:r>
        <w:rPr>
          <w:rFonts w:eastAsia="仿宋_GB2312"/>
          <w:sz w:val="32"/>
          <w:szCs w:val="32"/>
        </w:rPr>
        <w:t>晋源区人民政府应当做好与晋阳古城遗址保护有关的工作。</w:t>
      </w:r>
    </w:p>
    <w:p>
      <w:pPr>
        <w:pStyle w:val="Normal"/>
        <w:snapToGrid w:val="false"/>
        <w:spacing w:lineRule="exact" w:line="578"/>
        <w:ind w:endChars="0" w:end="0"/>
        <w:rPr/>
      </w:pPr>
      <w:r>
        <w:rPr>
          <w:rFonts w:ascii="黑体;SimHei" w:hAnsi="黑体;SimHei" w:hint="eastAsia" w:eastAsia="黑体;SimHei"/>
          <w:sz w:val="32"/>
          <w:szCs w:val="32"/>
        </w:rPr>
        <w:t>第六条</w:t>
      </w:r>
      <w:r>
        <w:rPr>
          <w:rFonts w:eastAsia="仿宋_GB2312"/>
          <w:sz w:val="32"/>
          <w:szCs w:val="32"/>
        </w:rPr>
        <w:t xml:space="preserve">  市人民政府应当将晋阳古城遗址保护管理经费列入市财政预算，可以多方筹集资金，设立晋阳古城遗址保护专项资金。</w:t>
      </w:r>
    </w:p>
    <w:p>
      <w:pPr>
        <w:pStyle w:val="Normal"/>
        <w:snapToGrid w:val="false"/>
        <w:spacing w:lineRule="exact" w:line="578"/>
        <w:ind w:endChars="0" w:end="0"/>
        <w:rPr>
          <w:rFonts w:eastAsia="仿宋_GB2312"/>
          <w:sz w:val="32"/>
          <w:szCs w:val="32"/>
        </w:rPr>
      </w:pPr>
      <w:r>
        <w:rPr>
          <w:rFonts w:eastAsia="仿宋_GB2312"/>
          <w:sz w:val="32"/>
          <w:szCs w:val="32"/>
        </w:rPr>
        <w:t>鼓励国内外组织和个人捐助晋阳古城遗址保护事业。</w:t>
      </w:r>
    </w:p>
    <w:p>
      <w:pPr>
        <w:pStyle w:val="Normal"/>
        <w:snapToGrid w:val="false"/>
        <w:spacing w:lineRule="exact" w:line="578"/>
        <w:ind w:endChars="0" w:end="0"/>
        <w:rPr>
          <w:rFonts w:eastAsia="仿宋_GB2312"/>
          <w:sz w:val="32"/>
          <w:szCs w:val="32"/>
        </w:rPr>
      </w:pPr>
      <w:r>
        <w:rPr>
          <w:rFonts w:eastAsia="仿宋_GB2312"/>
          <w:sz w:val="32"/>
          <w:szCs w:val="32"/>
        </w:rPr>
        <w:t>晋阳古城遗址保护专项资金以及接受的捐助应当用于晋阳古城遗址的保护管理，不得挪作他用。</w:t>
      </w:r>
    </w:p>
    <w:p>
      <w:pPr>
        <w:pStyle w:val="Normal"/>
        <w:snapToGrid w:val="false"/>
        <w:spacing w:lineRule="exact" w:line="578"/>
        <w:ind w:endChars="0" w:end="0"/>
        <w:rPr/>
      </w:pPr>
      <w:r>
        <w:rPr>
          <w:rFonts w:ascii="黑体;SimHei" w:hAnsi="黑体;SimHei" w:hint="eastAsia" w:eastAsia="黑体;SimHei"/>
          <w:sz w:val="32"/>
          <w:szCs w:val="32"/>
        </w:rPr>
        <w:t>第七条</w:t>
      </w:r>
      <w:r>
        <w:rPr>
          <w:rFonts w:eastAsia="仿宋_GB2312"/>
          <w:sz w:val="32"/>
          <w:szCs w:val="32"/>
        </w:rPr>
        <w:t xml:space="preserve">  任何单位和个人都有保护晋阳古城遗址的义务，有权制止、检举和控告破坏晋阳古城遗址、盗掘文物及其他有损于晋阳古城遗址的行为。</w:t>
      </w:r>
    </w:p>
    <w:p>
      <w:pPr>
        <w:pStyle w:val="Normal"/>
        <w:snapToGrid w:val="false"/>
        <w:spacing w:lineRule="exact" w:line="578"/>
        <w:ind w:endChars="0" w:end="0"/>
        <w:rPr/>
      </w:pPr>
      <w:r>
        <w:rPr>
          <w:rFonts w:ascii="黑体;SimHei" w:hAnsi="黑体;SimHei" w:hint="eastAsia" w:eastAsia="黑体;SimHei"/>
          <w:sz w:val="32"/>
          <w:szCs w:val="32"/>
        </w:rPr>
        <w:t>第八条</w:t>
      </w:r>
      <w:r>
        <w:rPr>
          <w:rFonts w:eastAsia="仿宋_GB2312"/>
          <w:sz w:val="32"/>
          <w:szCs w:val="32"/>
        </w:rPr>
        <w:t xml:space="preserve">  各级人民政府和有关部门对在晋阳古城遗址保护工作中有突出贡献的单位和个人，应当给予表彰或者奖励。</w:t>
      </w:r>
    </w:p>
    <w:p>
      <w:pPr>
        <w:pStyle w:val="Normal"/>
        <w:snapToGrid w:val="false"/>
        <w:spacing w:lineRule="exact" w:line="578"/>
        <w:ind w:endChars="0" w:end="0"/>
        <w:rPr>
          <w:rFonts w:eastAsia="仿宋_GB2312"/>
          <w:sz w:val="32"/>
          <w:szCs w:val="32"/>
        </w:rPr>
      </w:pPr>
      <w:r>
        <w:rPr>
          <w:rFonts w:eastAsia="仿宋_GB2312"/>
          <w:sz w:val="32"/>
          <w:szCs w:val="32"/>
        </w:rPr>
      </w:r>
    </w:p>
    <w:p>
      <w:pPr>
        <w:pStyle w:val="Normal"/>
        <w:snapToGrid w:val="false"/>
        <w:spacing w:lineRule="exact" w:line="578"/>
        <w:ind w:firstLineChars="6" w:endChars="0" w:end="0"/>
        <w:jc w:val="center"/>
        <w:rPr>
          <w:rFonts w:ascii="黑体;SimHei" w:hAnsi="黑体;SimHei" w:eastAsia="黑体;SimHei" w:hint="eastAsia"/>
          <w:sz w:val="32"/>
          <w:szCs w:val="32"/>
        </w:rPr>
      </w:pPr>
      <w:r>
        <w:rPr>
          <w:rFonts w:ascii="黑体;SimHei" w:hAnsi="黑体;SimHei" w:hint="eastAsia" w:eastAsia="黑体;SimHei"/>
          <w:sz w:val="32"/>
          <w:szCs w:val="32"/>
        </w:rPr>
        <w:t>第二章  保护与管理</w:t>
      </w:r>
    </w:p>
    <w:p>
      <w:pPr>
        <w:pStyle w:val="Normal"/>
        <w:snapToGrid w:val="false"/>
        <w:spacing w:lineRule="exact" w:line="578"/>
        <w:ind w:endChars="0" w:end="0"/>
        <w:rPr>
          <w:rFonts w:ascii="黑体;SimHei" w:hAnsi="黑体;SimHei" w:eastAsia="仿宋_GB2312" w:hint="eastAsia"/>
          <w:sz w:val="32"/>
          <w:szCs w:val="32"/>
        </w:rPr>
      </w:pPr>
      <w:r>
        <w:rPr>
          <w:rFonts w:eastAsia="仿宋_GB2312" w:hint="eastAsia" w:ascii="黑体;SimHei" w:hAnsi="黑体;SimHei"/>
          <w:sz w:val="32"/>
          <w:szCs w:val="32"/>
        </w:rPr>
      </w:r>
    </w:p>
    <w:p>
      <w:pPr>
        <w:pStyle w:val="Normal"/>
        <w:snapToGrid w:val="false"/>
        <w:spacing w:lineRule="exact" w:line="578"/>
        <w:ind w:endChars="0" w:end="0"/>
        <w:rPr/>
      </w:pPr>
      <w:r>
        <w:rPr>
          <w:rFonts w:ascii="黑体;SimHei" w:hAnsi="黑体;SimHei" w:hint="eastAsia" w:eastAsia="黑体;SimHei"/>
          <w:sz w:val="32"/>
          <w:szCs w:val="32"/>
        </w:rPr>
        <w:t>第九条</w:t>
      </w:r>
      <w:r>
        <w:rPr>
          <w:rFonts w:eastAsia="仿宋_GB2312"/>
          <w:sz w:val="32"/>
          <w:szCs w:val="32"/>
        </w:rPr>
        <w:t xml:space="preserve">  市人民政府应当按照省人民政府划定的晋阳古城遗址保护范围设立界桩和标志碑。根据考古发现或者研究成果需要调整时，市人民政府应当报经省人民政府批准。</w:t>
      </w:r>
    </w:p>
    <w:p>
      <w:pPr>
        <w:pStyle w:val="Normal"/>
        <w:snapToGrid w:val="false"/>
        <w:spacing w:lineRule="exact" w:line="578"/>
        <w:ind w:endChars="0" w:end="0"/>
        <w:rPr>
          <w:rFonts w:eastAsia="仿宋_GB2312"/>
          <w:sz w:val="32"/>
          <w:szCs w:val="32"/>
        </w:rPr>
      </w:pPr>
      <w:r>
        <w:rPr>
          <w:rFonts w:eastAsia="仿宋_GB2312"/>
          <w:sz w:val="32"/>
          <w:szCs w:val="32"/>
        </w:rPr>
        <w:t>界桩、标志碑和保护设施应当保持完好。</w:t>
      </w:r>
    </w:p>
    <w:p>
      <w:pPr>
        <w:pStyle w:val="Normal"/>
        <w:snapToGrid w:val="false"/>
        <w:spacing w:lineRule="exact" w:line="578"/>
        <w:ind w:endChars="0" w:end="0"/>
        <w:rPr/>
      </w:pPr>
      <w:r>
        <w:rPr>
          <w:rFonts w:ascii="黑体;SimHei" w:hAnsi="黑体;SimHei" w:hint="eastAsia" w:eastAsia="黑体;SimHei"/>
          <w:sz w:val="32"/>
          <w:szCs w:val="32"/>
        </w:rPr>
        <w:t>第十条</w:t>
      </w:r>
      <w:r>
        <w:rPr>
          <w:rFonts w:eastAsia="仿宋_GB2312"/>
          <w:sz w:val="32"/>
          <w:szCs w:val="32"/>
        </w:rPr>
        <w:t xml:space="preserve">  市人民政府根据保护晋阳古城遗址的实际需要，经省人民政府批准，可以在晋阳古城遗址保护范围外划出一定的建设控制地带，并予以公布。</w:t>
      </w:r>
    </w:p>
    <w:p>
      <w:pPr>
        <w:pStyle w:val="Normal"/>
        <w:snapToGrid w:val="false"/>
        <w:spacing w:lineRule="exact" w:line="578"/>
        <w:ind w:endChars="0" w:end="0"/>
        <w:rPr/>
      </w:pPr>
      <w:r>
        <w:rPr>
          <w:rFonts w:ascii="黑体;SimHei" w:hAnsi="黑体;SimHei" w:hint="eastAsia" w:eastAsia="黑体;SimHei"/>
          <w:sz w:val="32"/>
          <w:szCs w:val="32"/>
        </w:rPr>
        <w:t>第十一条</w:t>
      </w:r>
      <w:r>
        <w:rPr>
          <w:rFonts w:eastAsia="仿宋_GB2312"/>
          <w:sz w:val="32"/>
          <w:szCs w:val="32"/>
        </w:rPr>
        <w:t xml:space="preserve">  市规划行政主管部门应当会同市文物行政部门、国土资源部门组织编制晋阳古城遗址保护规划及专项控制性详细规划，并按程序报批。规划在实施过程中如需修订和完善，由晋阳古城遗址保护管理机构提出方案，按程序报原批准机关同意。</w:t>
      </w:r>
    </w:p>
    <w:p>
      <w:pPr>
        <w:pStyle w:val="Normal"/>
        <w:snapToGrid w:val="false"/>
        <w:spacing w:lineRule="exact" w:line="578"/>
        <w:ind w:endChars="0" w:end="0"/>
        <w:rPr/>
      </w:pPr>
      <w:r>
        <w:rPr>
          <w:rFonts w:ascii="黑体;SimHei" w:hAnsi="黑体;SimHei" w:hint="eastAsia" w:eastAsia="黑体;SimHei"/>
          <w:sz w:val="32"/>
          <w:szCs w:val="32"/>
        </w:rPr>
        <w:t>第十二条</w:t>
      </w:r>
      <w:r>
        <w:rPr>
          <w:rFonts w:eastAsia="仿宋_GB2312"/>
          <w:sz w:val="32"/>
          <w:szCs w:val="32"/>
        </w:rPr>
        <w:t xml:space="preserve">  在晋阳古城遗址保护范围内，不得擅自修建道路；不得污损、刻划或者擅自移动、拆除文物保护设施；不得设置垃圾堆放场及其他有损于遗址保护的设施。</w:t>
      </w:r>
    </w:p>
    <w:p>
      <w:pPr>
        <w:pStyle w:val="Normal"/>
        <w:snapToGrid w:val="false"/>
        <w:spacing w:lineRule="exact" w:line="578"/>
        <w:ind w:endChars="0" w:end="0"/>
        <w:rPr/>
      </w:pPr>
      <w:r>
        <w:rPr>
          <w:rFonts w:ascii="黑体;SimHei" w:hAnsi="黑体;SimHei" w:hint="eastAsia" w:eastAsia="黑体;SimHei"/>
          <w:sz w:val="32"/>
          <w:szCs w:val="32"/>
        </w:rPr>
        <w:t>第十三条</w:t>
      </w:r>
      <w:r>
        <w:rPr>
          <w:rFonts w:eastAsia="仿宋_GB2312"/>
          <w:sz w:val="32"/>
          <w:szCs w:val="32"/>
        </w:rPr>
        <w:t xml:space="preserve">  在晋阳古城遗址保护范围内严格控制新批宅基地。确需新建住宅的，应当符合晋阳古城遗址保护规划，并按照国家规定的有关程序报批。</w:t>
      </w:r>
    </w:p>
    <w:p>
      <w:pPr>
        <w:pStyle w:val="Normal"/>
        <w:snapToGrid w:val="false"/>
        <w:spacing w:lineRule="exact" w:line="578"/>
        <w:ind w:endChars="0" w:end="0"/>
        <w:rPr/>
      </w:pPr>
      <w:r>
        <w:rPr>
          <w:rFonts w:ascii="黑体;SimHei" w:hAnsi="黑体;SimHei" w:hint="eastAsia" w:eastAsia="黑体;SimHei"/>
          <w:sz w:val="32"/>
          <w:szCs w:val="32"/>
        </w:rPr>
        <w:t>第十四条</w:t>
      </w:r>
      <w:r>
        <w:rPr>
          <w:rFonts w:hint="eastAsia" w:eastAsia="仿宋_GB2312"/>
          <w:sz w:val="32"/>
          <w:szCs w:val="32"/>
        </w:rPr>
        <w:t>　</w:t>
      </w:r>
      <w:r>
        <w:rPr>
          <w:rFonts w:eastAsia="仿宋_GB2312"/>
          <w:sz w:val="32"/>
          <w:szCs w:val="32"/>
        </w:rPr>
        <w:t>在晋阳古城遗址保护范围内，不得新建与晋阳古城遗址保护管理无关的建设工程。</w:t>
      </w:r>
    </w:p>
    <w:p>
      <w:pPr>
        <w:pStyle w:val="Normal"/>
        <w:snapToGrid w:val="false"/>
        <w:spacing w:lineRule="exact" w:line="578"/>
        <w:ind w:endChars="0" w:end="0"/>
        <w:rPr/>
      </w:pPr>
      <w:r>
        <w:rPr>
          <w:rFonts w:ascii="黑体;SimHei" w:hAnsi="黑体;SimHei" w:hint="eastAsia" w:eastAsia="黑体;SimHei"/>
          <w:sz w:val="32"/>
          <w:szCs w:val="32"/>
        </w:rPr>
        <w:t>第十五条</w:t>
      </w:r>
      <w:r>
        <w:rPr>
          <w:rFonts w:hint="eastAsia" w:eastAsia="仿宋_GB2312"/>
          <w:sz w:val="32"/>
          <w:szCs w:val="32"/>
        </w:rPr>
        <w:t>　</w:t>
      </w:r>
      <w:r>
        <w:rPr>
          <w:rFonts w:eastAsia="仿宋_GB2312"/>
          <w:sz w:val="32"/>
          <w:szCs w:val="32"/>
        </w:rPr>
        <w:t>禁止在已探明的晋阳古城遗址重要建筑物基址上新建与晋阳古城遗址保护、展示无关的建筑物、构筑物。</w:t>
      </w:r>
    </w:p>
    <w:p>
      <w:pPr>
        <w:pStyle w:val="Normal"/>
        <w:snapToGrid w:val="false"/>
        <w:spacing w:lineRule="exact" w:line="578"/>
        <w:ind w:endChars="0" w:end="0"/>
        <w:rPr>
          <w:rFonts w:eastAsia="仿宋_GB2312"/>
          <w:sz w:val="32"/>
          <w:szCs w:val="32"/>
        </w:rPr>
      </w:pPr>
      <w:r>
        <w:rPr>
          <w:rFonts w:eastAsia="仿宋_GB2312"/>
          <w:sz w:val="32"/>
          <w:szCs w:val="32"/>
        </w:rPr>
        <w:t>晋阳古城遗址保护范围内民宅的修缮应当符合晋阳古城遗址保护规划，并逐步调整至与遗址环境风貌相协调。</w:t>
      </w:r>
    </w:p>
    <w:p>
      <w:pPr>
        <w:pStyle w:val="Normal"/>
        <w:snapToGrid w:val="false"/>
        <w:spacing w:lineRule="exact" w:line="578"/>
        <w:ind w:endChars="0" w:end="0"/>
        <w:rPr>
          <w:rFonts w:eastAsia="仿宋_GB2312"/>
          <w:sz w:val="32"/>
          <w:szCs w:val="32"/>
        </w:rPr>
      </w:pPr>
      <w:r>
        <w:rPr>
          <w:rFonts w:eastAsia="仿宋_GB2312"/>
          <w:sz w:val="32"/>
          <w:szCs w:val="32"/>
        </w:rPr>
        <w:t>晋阳古城遗址重要建筑物基址上的民宅应当限期搬迁；晋阳古城遗址保护范围内现有的工业企业、有碍遗址保护和展示的现有建筑物、构筑物应当限期搬迁或者拆除。市人民政府及晋源区人民政府应当按有关规定对被拆迁人予以安置或者补偿。</w:t>
      </w:r>
    </w:p>
    <w:p>
      <w:pPr>
        <w:pStyle w:val="Normal"/>
        <w:snapToGrid w:val="false"/>
        <w:spacing w:lineRule="exact" w:line="578"/>
        <w:ind w:endChars="0" w:end="0"/>
        <w:rPr/>
      </w:pPr>
      <w:r>
        <w:rPr>
          <w:rFonts w:ascii="黑体;SimHei" w:hAnsi="黑体;SimHei" w:hint="eastAsia" w:eastAsia="黑体;SimHei"/>
          <w:sz w:val="32"/>
          <w:szCs w:val="32"/>
        </w:rPr>
        <w:t>第十六条</w:t>
      </w:r>
      <w:r>
        <w:rPr>
          <w:rFonts w:hint="eastAsia" w:eastAsia="仿宋_GB2312"/>
          <w:sz w:val="32"/>
          <w:szCs w:val="32"/>
        </w:rPr>
        <w:t>　</w:t>
      </w:r>
      <w:r>
        <w:rPr>
          <w:rFonts w:eastAsia="仿宋_GB2312"/>
          <w:sz w:val="32"/>
          <w:szCs w:val="32"/>
        </w:rPr>
        <w:t>在晋阳古城遗址建设控制地带内进行工程建设或者从事生产经营活动的，不得破坏遗址的环境风貌，不得污染环境，不得危及文物安全。</w:t>
      </w:r>
    </w:p>
    <w:p>
      <w:pPr>
        <w:pStyle w:val="Normal"/>
        <w:snapToGrid w:val="false"/>
        <w:spacing w:lineRule="exact" w:line="578"/>
        <w:ind w:endChars="0" w:end="0"/>
        <w:rPr/>
      </w:pPr>
      <w:r>
        <w:rPr>
          <w:rFonts w:ascii="黑体;SimHei" w:hAnsi="黑体;SimHei" w:hint="eastAsia" w:eastAsia="黑体;SimHei"/>
          <w:sz w:val="32"/>
          <w:szCs w:val="32"/>
        </w:rPr>
        <w:t>第十七条</w:t>
      </w:r>
      <w:r>
        <w:rPr>
          <w:rFonts w:hint="eastAsia" w:eastAsia="仿宋_GB2312"/>
          <w:sz w:val="32"/>
          <w:szCs w:val="32"/>
        </w:rPr>
        <w:t>　</w:t>
      </w:r>
      <w:r>
        <w:rPr>
          <w:rFonts w:eastAsia="仿宋_GB2312"/>
          <w:sz w:val="32"/>
          <w:szCs w:val="32"/>
        </w:rPr>
        <w:t>晋阳古城遗址保护范围内新建建筑物、构筑物，应当进行考古调查、勘探发掘，并进行遗产影响评估。</w:t>
      </w:r>
    </w:p>
    <w:p>
      <w:pPr>
        <w:pStyle w:val="Normal"/>
        <w:snapToGrid w:val="false"/>
        <w:spacing w:lineRule="exact" w:line="578"/>
        <w:ind w:endChars="0" w:end="0"/>
        <w:rPr>
          <w:rFonts w:eastAsia="仿宋_GB2312"/>
          <w:sz w:val="32"/>
          <w:szCs w:val="32"/>
        </w:rPr>
      </w:pPr>
      <w:r>
        <w:rPr>
          <w:rFonts w:eastAsia="仿宋_GB2312"/>
          <w:sz w:val="32"/>
          <w:szCs w:val="32"/>
        </w:rPr>
      </w:r>
    </w:p>
    <w:p>
      <w:pPr>
        <w:pStyle w:val="Normal"/>
        <w:snapToGrid w:val="false"/>
        <w:spacing w:lineRule="exact" w:line="578"/>
        <w:ind w:firstLineChars="6" w:endChars="0" w:end="0"/>
        <w:jc w:val="center"/>
        <w:rPr>
          <w:rFonts w:ascii="黑体;SimHei" w:hAnsi="黑体;SimHei" w:eastAsia="黑体;SimHei" w:hint="eastAsia"/>
          <w:sz w:val="32"/>
          <w:szCs w:val="32"/>
        </w:rPr>
      </w:pPr>
      <w:r>
        <w:rPr>
          <w:rFonts w:ascii="黑体;SimHei" w:hAnsi="黑体;SimHei" w:hint="eastAsia" w:eastAsia="黑体;SimHei"/>
          <w:sz w:val="32"/>
          <w:szCs w:val="32"/>
        </w:rPr>
        <w:t>第三章  考古与展示</w:t>
      </w:r>
    </w:p>
    <w:p>
      <w:pPr>
        <w:pStyle w:val="Normal"/>
        <w:snapToGrid w:val="false"/>
        <w:spacing w:lineRule="exact" w:line="578"/>
        <w:ind w:endChars="0" w:end="0"/>
        <w:rPr>
          <w:rFonts w:ascii="黑体;SimHei" w:hAnsi="黑体;SimHei" w:eastAsia="仿宋_GB2312" w:hint="eastAsia"/>
          <w:sz w:val="32"/>
          <w:szCs w:val="32"/>
        </w:rPr>
      </w:pPr>
      <w:r>
        <w:rPr>
          <w:rFonts w:eastAsia="仿宋_GB2312" w:hint="eastAsia" w:ascii="黑体;SimHei" w:hAnsi="黑体;SimHei"/>
          <w:sz w:val="32"/>
          <w:szCs w:val="32"/>
        </w:rPr>
      </w:r>
    </w:p>
    <w:p>
      <w:pPr>
        <w:pStyle w:val="Normal"/>
        <w:snapToGrid w:val="false"/>
        <w:spacing w:lineRule="exact" w:line="578"/>
        <w:ind w:endChars="0" w:end="0"/>
        <w:rPr/>
      </w:pPr>
      <w:r>
        <w:rPr>
          <w:rFonts w:ascii="黑体;SimHei" w:hAnsi="黑体;SimHei" w:hint="eastAsia" w:eastAsia="黑体;SimHei"/>
          <w:sz w:val="32"/>
          <w:szCs w:val="32"/>
        </w:rPr>
        <w:t>第十八条</w:t>
      </w:r>
      <w:r>
        <w:rPr>
          <w:rFonts w:hint="eastAsia" w:eastAsia="仿宋_GB2312"/>
          <w:sz w:val="32"/>
          <w:szCs w:val="32"/>
        </w:rPr>
        <w:t>　</w:t>
      </w:r>
      <w:r>
        <w:rPr>
          <w:rFonts w:eastAsia="仿宋_GB2312"/>
          <w:sz w:val="32"/>
          <w:szCs w:val="32"/>
        </w:rPr>
        <w:t>因保护或者展示晋阳古城遗址所采取的修复、加固措施，应当遵循不改变晋阳古城遗址历史原貌的原则，并确保不对晋阳古城遗址及其历史环境造成破坏。修复或者加固晋阳古城遗址采用的技术措施应当符合《中国文物古迹保护规则》。</w:t>
      </w:r>
    </w:p>
    <w:p>
      <w:pPr>
        <w:pStyle w:val="Normal"/>
        <w:snapToGrid w:val="false"/>
        <w:spacing w:lineRule="exact" w:line="578"/>
        <w:ind w:endChars="0" w:end="0"/>
        <w:rPr/>
      </w:pPr>
      <w:r>
        <w:rPr>
          <w:rFonts w:ascii="黑体;SimHei" w:hAnsi="黑体;SimHei" w:hint="eastAsia" w:eastAsia="黑体;SimHei"/>
          <w:sz w:val="32"/>
          <w:szCs w:val="32"/>
        </w:rPr>
        <w:t>第十九条</w:t>
      </w:r>
      <w:r>
        <w:rPr>
          <w:rFonts w:eastAsia="仿宋_GB2312"/>
          <w:sz w:val="32"/>
          <w:szCs w:val="32"/>
        </w:rPr>
        <w:t xml:space="preserve">  市文物行政部门制订晋阳古城遗址考古工作规划，应当明确晋阳古城遗址考古的长期目标、近期任务和考古发掘计划。考古发掘计划经国务院文物行政部门审核后报国务院批准。</w:t>
      </w:r>
    </w:p>
    <w:p>
      <w:pPr>
        <w:pStyle w:val="Normal"/>
        <w:snapToGrid w:val="false"/>
        <w:spacing w:lineRule="exact" w:line="578"/>
        <w:ind w:endChars="0" w:end="0"/>
        <w:rPr/>
      </w:pPr>
      <w:r>
        <w:rPr>
          <w:rFonts w:ascii="黑体;SimHei" w:hAnsi="黑体;SimHei" w:hint="eastAsia" w:eastAsia="黑体;SimHei"/>
          <w:sz w:val="32"/>
          <w:szCs w:val="32"/>
        </w:rPr>
        <w:t>第二十条</w:t>
      </w:r>
      <w:r>
        <w:rPr>
          <w:rFonts w:hint="eastAsia" w:eastAsia="仿宋_GB2312"/>
          <w:sz w:val="32"/>
          <w:szCs w:val="32"/>
        </w:rPr>
        <w:t>　</w:t>
      </w:r>
      <w:r>
        <w:rPr>
          <w:rFonts w:eastAsia="仿宋_GB2312"/>
          <w:sz w:val="32"/>
          <w:szCs w:val="32"/>
        </w:rPr>
        <w:t>市文物行政部门应当加强对考古发掘工作的科学研究，开展广泛的交流与合作，采用先进科技手段对晋阳古城遗址进行考古调查、发掘、展示。</w:t>
      </w:r>
    </w:p>
    <w:p>
      <w:pPr>
        <w:pStyle w:val="Normal"/>
        <w:snapToGrid w:val="false"/>
        <w:spacing w:lineRule="exact" w:line="578"/>
        <w:ind w:endChars="0" w:end="0"/>
        <w:rPr/>
      </w:pPr>
      <w:r>
        <w:rPr>
          <w:rFonts w:ascii="黑体;SimHei" w:hAnsi="黑体;SimHei" w:hint="eastAsia" w:eastAsia="黑体;SimHei"/>
          <w:sz w:val="32"/>
          <w:szCs w:val="32"/>
        </w:rPr>
        <w:t>第二十一条</w:t>
      </w:r>
      <w:r>
        <w:rPr>
          <w:rFonts w:hint="eastAsia" w:eastAsia="仿宋_GB2312"/>
          <w:sz w:val="32"/>
          <w:szCs w:val="32"/>
        </w:rPr>
        <w:t>　</w:t>
      </w:r>
      <w:r>
        <w:rPr>
          <w:rFonts w:eastAsia="仿宋_GB2312"/>
          <w:sz w:val="32"/>
          <w:szCs w:val="32"/>
        </w:rPr>
        <w:t>对依法批准进行工程建设的地段，文物行政部门应当及时组织有资质的考古机构进行考古勘探、发掘，所需费用由建设单位列入工程预算。</w:t>
      </w:r>
    </w:p>
    <w:p>
      <w:pPr>
        <w:pStyle w:val="Normal"/>
        <w:snapToGrid w:val="false"/>
        <w:spacing w:lineRule="exact" w:line="578"/>
        <w:ind w:endChars="0" w:end="0"/>
        <w:rPr/>
      </w:pPr>
      <w:r>
        <w:rPr>
          <w:rFonts w:ascii="黑体;SimHei" w:hAnsi="黑体;SimHei" w:hint="eastAsia" w:eastAsia="黑体;SimHei"/>
          <w:sz w:val="32"/>
          <w:szCs w:val="32"/>
        </w:rPr>
        <w:t>第二十二条</w:t>
      </w:r>
      <w:r>
        <w:rPr>
          <w:rFonts w:hint="eastAsia" w:eastAsia="仿宋_GB2312"/>
          <w:sz w:val="32"/>
          <w:szCs w:val="32"/>
        </w:rPr>
        <w:t>　</w:t>
      </w:r>
      <w:r>
        <w:rPr>
          <w:rFonts w:eastAsia="仿宋_GB2312"/>
          <w:sz w:val="32"/>
          <w:szCs w:val="32"/>
        </w:rPr>
        <w:t>市人民政府对晋阳古城遗址出土的文物应当以建设博物馆、遗址公园等形式及时向社会展示。新发现的重要遗存应当以原址保护性展示为主要形式。</w:t>
      </w:r>
    </w:p>
    <w:p>
      <w:pPr>
        <w:pStyle w:val="Normal"/>
        <w:snapToGrid w:val="false"/>
        <w:spacing w:lineRule="exact" w:line="578"/>
        <w:ind w:endChars="0" w:end="0"/>
        <w:rPr>
          <w:rFonts w:eastAsia="仿宋_GB2312"/>
          <w:sz w:val="32"/>
          <w:szCs w:val="32"/>
        </w:rPr>
      </w:pPr>
      <w:r>
        <w:rPr>
          <w:rFonts w:eastAsia="仿宋_GB2312"/>
          <w:sz w:val="32"/>
          <w:szCs w:val="32"/>
        </w:rPr>
        <w:t>鼓励和支持在晋阳古城遗址保护范围内建立符合规划的各类专题博物馆。</w:t>
      </w:r>
    </w:p>
    <w:p>
      <w:pPr>
        <w:pStyle w:val="Normal"/>
        <w:snapToGrid w:val="false"/>
        <w:spacing w:lineRule="exact" w:line="578"/>
        <w:ind w:endChars="0" w:end="0"/>
        <w:rPr/>
      </w:pPr>
      <w:r>
        <w:rPr>
          <w:rFonts w:ascii="黑体;SimHei" w:hAnsi="黑体;SimHei" w:hint="eastAsia" w:eastAsia="黑体;SimHei"/>
          <w:sz w:val="32"/>
          <w:szCs w:val="32"/>
        </w:rPr>
        <w:t>第二十三条</w:t>
      </w:r>
      <w:r>
        <w:rPr>
          <w:rFonts w:hint="eastAsia" w:eastAsia="仿宋_GB2312"/>
          <w:sz w:val="32"/>
          <w:szCs w:val="32"/>
        </w:rPr>
        <w:t>　</w:t>
      </w:r>
      <w:r>
        <w:rPr>
          <w:rFonts w:eastAsia="仿宋_GB2312"/>
          <w:sz w:val="32"/>
          <w:szCs w:val="32"/>
        </w:rPr>
        <w:t>在晋阳古城遗址保护范围内，鼓励发展符合规划并有利于遗址保护的绿化、种植和旅游事业；支持开发展示遗址风貌、陈列出土文物等文化产业项目。</w:t>
      </w:r>
    </w:p>
    <w:p>
      <w:pPr>
        <w:pStyle w:val="Normal"/>
        <w:snapToGrid w:val="false"/>
        <w:spacing w:lineRule="exact" w:line="578"/>
        <w:ind w:endChars="0" w:end="0"/>
        <w:rPr/>
      </w:pPr>
      <w:r>
        <w:rPr>
          <w:rFonts w:ascii="黑体;SimHei" w:hAnsi="黑体;SimHei" w:hint="eastAsia" w:eastAsia="黑体;SimHei"/>
          <w:sz w:val="32"/>
          <w:szCs w:val="32"/>
        </w:rPr>
        <w:t>第二十四条</w:t>
      </w:r>
      <w:r>
        <w:rPr>
          <w:rFonts w:hint="eastAsia" w:eastAsia="仿宋_GB2312"/>
          <w:sz w:val="32"/>
          <w:szCs w:val="32"/>
        </w:rPr>
        <w:t>　</w:t>
      </w:r>
      <w:r>
        <w:rPr>
          <w:rFonts w:eastAsia="仿宋_GB2312"/>
          <w:sz w:val="32"/>
          <w:szCs w:val="32"/>
        </w:rPr>
        <w:t>宣传、文化、文物、旅游、广播电视、新闻出版等部门应当开展多种形式的宣传活动，积极创作与晋阳历史文化有关的作品，增强全社会对晋阳古城遗址的保护意识。</w:t>
      </w:r>
    </w:p>
    <w:p>
      <w:pPr>
        <w:pStyle w:val="Normal"/>
        <w:snapToGrid w:val="false"/>
        <w:spacing w:lineRule="exact" w:line="578"/>
        <w:ind w:endChars="0" w:end="0"/>
        <w:rPr>
          <w:rFonts w:eastAsia="仿宋_GB2312"/>
          <w:sz w:val="32"/>
          <w:szCs w:val="32"/>
        </w:rPr>
      </w:pPr>
      <w:r>
        <w:rPr>
          <w:rFonts w:eastAsia="仿宋_GB2312"/>
          <w:sz w:val="32"/>
          <w:szCs w:val="32"/>
        </w:rPr>
        <w:t>教育部门应当将晋阳历史文化知识编入中小学生乡土教材，并将晋阳古城遗址列为爱国主义教育基地。</w:t>
      </w:r>
    </w:p>
    <w:p>
      <w:pPr>
        <w:pStyle w:val="Normal"/>
        <w:snapToGrid w:val="false"/>
        <w:spacing w:lineRule="exact" w:line="578"/>
        <w:ind w:endChars="0" w:end="0"/>
        <w:rPr>
          <w:rFonts w:eastAsia="仿宋_GB2312"/>
          <w:sz w:val="32"/>
          <w:szCs w:val="32"/>
        </w:rPr>
      </w:pPr>
      <w:r>
        <w:rPr>
          <w:rFonts w:eastAsia="仿宋_GB2312"/>
          <w:sz w:val="32"/>
          <w:szCs w:val="32"/>
        </w:rPr>
      </w:r>
    </w:p>
    <w:p>
      <w:pPr>
        <w:pStyle w:val="Normal"/>
        <w:snapToGrid w:val="false"/>
        <w:spacing w:lineRule="exact" w:line="578"/>
        <w:ind w:firstLineChars="6" w:endChars="0" w:end="0"/>
        <w:jc w:val="center"/>
        <w:rPr>
          <w:rFonts w:ascii="黑体;SimHei" w:hAnsi="黑体;SimHei" w:eastAsia="黑体;SimHei" w:hint="eastAsia"/>
          <w:sz w:val="32"/>
          <w:szCs w:val="32"/>
        </w:rPr>
      </w:pPr>
      <w:r>
        <w:rPr>
          <w:rFonts w:ascii="黑体;SimHei" w:hAnsi="黑体;SimHei" w:hint="eastAsia" w:eastAsia="黑体;SimHei"/>
          <w:sz w:val="32"/>
          <w:szCs w:val="32"/>
        </w:rPr>
        <w:t>第四章  法律责任</w:t>
      </w:r>
    </w:p>
    <w:p>
      <w:pPr>
        <w:pStyle w:val="Normal"/>
        <w:snapToGrid w:val="false"/>
        <w:spacing w:lineRule="exact" w:line="578"/>
        <w:ind w:endChars="0" w:end="0"/>
        <w:rPr>
          <w:rFonts w:ascii="黑体;SimHei" w:hAnsi="黑体;SimHei" w:eastAsia="仿宋_GB2312" w:hint="eastAsia"/>
          <w:sz w:val="32"/>
          <w:szCs w:val="32"/>
        </w:rPr>
      </w:pPr>
      <w:r>
        <w:rPr>
          <w:rFonts w:eastAsia="仿宋_GB2312" w:hint="eastAsia" w:ascii="黑体;SimHei" w:hAnsi="黑体;SimHei"/>
          <w:sz w:val="32"/>
          <w:szCs w:val="32"/>
        </w:rPr>
      </w:r>
    </w:p>
    <w:p>
      <w:pPr>
        <w:pStyle w:val="Normal"/>
        <w:snapToGrid w:val="false"/>
        <w:spacing w:lineRule="exact" w:line="578"/>
        <w:ind w:endChars="0" w:end="0"/>
        <w:rPr/>
      </w:pPr>
      <w:r>
        <w:rPr>
          <w:rFonts w:ascii="黑体;SimHei" w:hAnsi="黑体;SimHei" w:hint="eastAsia" w:eastAsia="黑体;SimHei"/>
          <w:sz w:val="32"/>
          <w:szCs w:val="32"/>
        </w:rPr>
        <w:t>第二十五条</w:t>
      </w:r>
      <w:r>
        <w:rPr>
          <w:rFonts w:hint="eastAsia" w:eastAsia="仿宋_GB2312"/>
          <w:sz w:val="32"/>
          <w:szCs w:val="32"/>
        </w:rPr>
        <w:t>　</w:t>
      </w:r>
      <w:r>
        <w:rPr>
          <w:rFonts w:eastAsia="仿宋_GB2312"/>
          <w:sz w:val="32"/>
          <w:szCs w:val="32"/>
        </w:rPr>
        <w:t>违反本条例规定，擅自改变或者不执行晋阳古城遗址保护规划的，由市人民政府责令限期改正；造成重大损失或者严重后果的，对负有责任的主管人员和其他直接责任人员依法给予行政处分；构成犯罪的，依法追究刑事责任。</w:t>
      </w:r>
    </w:p>
    <w:p>
      <w:pPr>
        <w:pStyle w:val="Normal"/>
        <w:snapToGrid w:val="false"/>
        <w:spacing w:lineRule="exact" w:line="578"/>
        <w:ind w:endChars="0" w:end="0"/>
        <w:rPr/>
      </w:pPr>
      <w:r>
        <w:rPr>
          <w:rFonts w:ascii="黑体;SimHei" w:hAnsi="黑体;SimHei" w:hint="eastAsia" w:eastAsia="黑体;SimHei"/>
          <w:sz w:val="32"/>
          <w:szCs w:val="32"/>
        </w:rPr>
        <w:t>第二十六条　</w:t>
      </w:r>
      <w:r>
        <w:rPr>
          <w:rFonts w:eastAsia="仿宋_GB2312"/>
          <w:sz w:val="32"/>
          <w:szCs w:val="32"/>
        </w:rPr>
        <w:t>违反本条例规定，擅自进行建设的，由规划行政管理部门按照《中华人民共和国城乡规划法》的有关规定处理。</w:t>
      </w:r>
    </w:p>
    <w:p>
      <w:pPr>
        <w:pStyle w:val="Normal"/>
        <w:snapToGrid w:val="false"/>
        <w:spacing w:lineRule="exact" w:line="578"/>
        <w:ind w:endChars="0" w:end="0"/>
        <w:rPr/>
      </w:pPr>
      <w:r>
        <w:rPr>
          <w:rFonts w:ascii="黑体;SimHei" w:hAnsi="黑体;SimHei" w:hint="eastAsia" w:eastAsia="黑体;SimHei"/>
          <w:sz w:val="32"/>
          <w:szCs w:val="32"/>
        </w:rPr>
        <w:t>第二十七条</w:t>
      </w:r>
      <w:r>
        <w:rPr>
          <w:rFonts w:eastAsia="仿宋_GB2312"/>
          <w:sz w:val="32"/>
          <w:szCs w:val="32"/>
        </w:rPr>
        <w:t xml:space="preserve">  盗掘晋阳古城遗址、非法买卖晋阳古城遗址出土文物或者有其他严重破坏晋阳古城遗址行为，构成犯罪的，依法追究刑事责任。</w:t>
      </w:r>
    </w:p>
    <w:p>
      <w:pPr>
        <w:pStyle w:val="Normal"/>
        <w:snapToGrid w:val="false"/>
        <w:spacing w:lineRule="exact" w:line="578"/>
        <w:ind w:endChars="0" w:end="0"/>
        <w:rPr/>
      </w:pPr>
      <w:r>
        <w:rPr>
          <w:rFonts w:ascii="黑体;SimHei" w:hAnsi="黑体;SimHei" w:hint="eastAsia" w:eastAsia="黑体;SimHei"/>
          <w:sz w:val="32"/>
          <w:szCs w:val="32"/>
        </w:rPr>
        <w:t>第二十八条　</w:t>
      </w:r>
      <w:r>
        <w:rPr>
          <w:rFonts w:eastAsia="仿宋_GB2312"/>
          <w:sz w:val="32"/>
          <w:szCs w:val="32"/>
        </w:rPr>
        <w:t>有关行政管理部门及晋阳古城遗址保护管理机构的工作人员</w:t>
      </w:r>
      <w:r>
        <w:rPr>
          <w:rFonts w:eastAsia="仿宋_GB2312"/>
          <w:sz w:val="32"/>
          <w:szCs w:val="32"/>
        </w:rPr>
        <w:t>,</w:t>
      </w:r>
      <w:r>
        <w:rPr>
          <w:rFonts w:eastAsia="仿宋_GB2312"/>
          <w:sz w:val="32"/>
          <w:szCs w:val="32"/>
        </w:rPr>
        <w:t>违反本条例规定，滥用职权、玩忽职守、徇私舞弊</w:t>
      </w:r>
      <w:r>
        <w:rPr>
          <w:rFonts w:eastAsia="仿宋_GB2312"/>
          <w:sz w:val="32"/>
          <w:szCs w:val="32"/>
        </w:rPr>
        <w:t>,</w:t>
      </w:r>
      <w:r>
        <w:rPr>
          <w:rFonts w:eastAsia="仿宋_GB2312"/>
          <w:sz w:val="32"/>
          <w:szCs w:val="32"/>
        </w:rPr>
        <w:t>尚未构成犯罪的，依法给予处分；构成犯罪的</w:t>
      </w:r>
      <w:r>
        <w:rPr>
          <w:rFonts w:eastAsia="仿宋_GB2312"/>
          <w:sz w:val="32"/>
          <w:szCs w:val="32"/>
        </w:rPr>
        <w:t>,</w:t>
      </w:r>
      <w:r>
        <w:rPr>
          <w:rFonts w:eastAsia="仿宋_GB2312"/>
          <w:sz w:val="32"/>
          <w:szCs w:val="32"/>
        </w:rPr>
        <w:t>依法追究刑事责任。</w:t>
      </w:r>
    </w:p>
    <w:p>
      <w:pPr>
        <w:pStyle w:val="Normal"/>
        <w:snapToGrid w:val="false"/>
        <w:spacing w:lineRule="exact" w:line="578"/>
        <w:ind w:endChars="0" w:end="0"/>
        <w:rPr>
          <w:rFonts w:eastAsia="仿宋_GB2312"/>
          <w:sz w:val="32"/>
          <w:szCs w:val="32"/>
        </w:rPr>
      </w:pPr>
      <w:r>
        <w:rPr>
          <w:rFonts w:eastAsia="仿宋_GB2312"/>
          <w:sz w:val="32"/>
          <w:szCs w:val="32"/>
        </w:rPr>
      </w:r>
    </w:p>
    <w:p>
      <w:pPr>
        <w:pStyle w:val="Normal"/>
        <w:snapToGrid w:val="false"/>
        <w:spacing w:lineRule="exact" w:line="578"/>
        <w:ind w:firstLineChars="6" w:endChars="0" w:end="0"/>
        <w:jc w:val="center"/>
        <w:rPr>
          <w:rFonts w:ascii="黑体;SimHei" w:hAnsi="黑体;SimHei" w:eastAsia="黑体;SimHei" w:hint="eastAsia"/>
          <w:sz w:val="32"/>
          <w:szCs w:val="32"/>
        </w:rPr>
      </w:pPr>
      <w:r>
        <w:rPr>
          <w:rFonts w:ascii="黑体;SimHei" w:hAnsi="黑体;SimHei" w:hint="eastAsia" w:eastAsia="黑体;SimHei"/>
          <w:sz w:val="32"/>
          <w:szCs w:val="32"/>
        </w:rPr>
        <w:t>第五章  附则</w:t>
      </w:r>
    </w:p>
    <w:p>
      <w:pPr>
        <w:pStyle w:val="Normal"/>
        <w:snapToGrid w:val="false"/>
        <w:spacing w:lineRule="exact" w:line="578"/>
        <w:ind w:endChars="0" w:end="0"/>
        <w:rPr>
          <w:rFonts w:ascii="黑体;SimHei" w:hAnsi="黑体;SimHei" w:eastAsia="仿宋_GB2312" w:hint="eastAsia"/>
          <w:sz w:val="32"/>
          <w:szCs w:val="32"/>
        </w:rPr>
      </w:pPr>
      <w:r>
        <w:rPr>
          <w:rFonts w:eastAsia="仿宋_GB2312" w:hint="eastAsia" w:ascii="黑体;SimHei" w:hAnsi="黑体;SimHei"/>
          <w:sz w:val="32"/>
          <w:szCs w:val="32"/>
        </w:rPr>
      </w:r>
    </w:p>
    <w:p>
      <w:pPr>
        <w:pStyle w:val="Normal"/>
        <w:snapToGrid w:val="false"/>
        <w:spacing w:lineRule="exact" w:line="578"/>
        <w:ind w:endChars="0" w:end="0"/>
        <w:rPr/>
      </w:pPr>
      <w:r>
        <w:rPr>
          <w:rFonts w:ascii="黑体;SimHei" w:hAnsi="黑体;SimHei" w:hint="eastAsia" w:eastAsia="黑体;SimHei"/>
          <w:sz w:val="32"/>
          <w:szCs w:val="32"/>
        </w:rPr>
        <w:t>第二十九条</w:t>
      </w:r>
      <w:r>
        <w:rPr>
          <w:rFonts w:hint="eastAsia" w:eastAsia="仿宋_GB2312"/>
          <w:sz w:val="32"/>
          <w:szCs w:val="32"/>
        </w:rPr>
        <w:t>　</w:t>
      </w:r>
      <w:r>
        <w:rPr>
          <w:rFonts w:ascii="仿宋_GB2312" w:hAnsi="仿宋_GB2312" w:hint="eastAsia" w:eastAsia="仿宋_GB2312"/>
          <w:sz w:val="32"/>
          <w:szCs w:val="32"/>
        </w:rPr>
        <w:t>本条例自</w:t>
      </w:r>
      <w:r>
        <w:rPr>
          <w:rFonts w:eastAsia="仿宋_GB2312" w:hint="eastAsia" w:ascii="仿宋_GB2312" w:hAnsi="仿宋_GB2312"/>
          <w:sz w:val="32"/>
          <w:szCs w:val="32"/>
        </w:rPr>
        <w:t>2007</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r>
        <w:rPr>
          <w:rFonts w:eastAsia="仿宋_GB2312"/>
          <w:sz w:val="32"/>
          <w:szCs w:val="32"/>
        </w:rPr>
        <w:t>。</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11"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ind w:endChars="0" w:end="0"/>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Chars="0" w:end="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rFonts w:hint="eastAsia"/>
        <w:sz w:val="28"/>
        <w:szCs w:val="28"/>
      </w:rPr>
      <w:t>　</w:t>
    </w:r>
  </w:p>
  <w:p>
    <w:pPr>
      <w:pStyle w:val="Footer"/>
      <w:ind w:endChars="0" w:end="0"/>
      <w:rPr>
        <w:sz w:val="28"/>
        <w:szCs w:val="28"/>
      </w:rPr>
    </w:pPr>
    <w:r>
      <w:rPr>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ind w:firstLineChars="200" w:startChars="0" w:start="0" w:endChars="0" w:end="0"/>
    </w:pPr>
    <w:rPr>
      <w:rFonts w:ascii="Times New Roman" w:hAnsi="Times New Roman" w:eastAsia="宋体;SimSun" w:cs="Times New Roman"/>
      <w:color w:val="auto"/>
      <w:sz w:val="20"/>
      <w:szCs w:val="20"/>
      <w:lang w:bidi="ar-SA" w:val="en-US" w:eastAsia="zh-CN"/>
    </w:rPr>
  </w:style>
  <w:style w:type="character" w:styleId="Style14">
    <w:name w:val="默认段落字体"/>
    <w:qFormat/>
    <w:rPr/>
  </w:style>
  <w:style w:type="character" w:styleId="CharChar1">
    <w:name w:val=" Char Char1"/>
    <w:qFormat/>
    <w:rPr>
      <w:sz w:val="18"/>
      <w:szCs w:val="18"/>
    </w:rPr>
  </w:style>
  <w:style w:type="character" w:styleId="CharChar">
    <w:name w:val=" Char Char"/>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2019-01-10T12:19:00Z</dcterms:created>
  <dc:creator>Administrator</dc:creator>
  <dc:description/>
  <cp:keywords/>
  <dc:language>en-US</dc:language>
  <cp:lastModifiedBy>雨林木风</cp:lastModifiedBy>
  <dcterms:modified xsi:type="dcterms:W3CDTF">2019-01-14T10:09:00Z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