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宋体" w:hAnsi="宋体" w:cs="华文中宋" w:hint="eastAsia"/>
          <w:sz w:val="44"/>
          <w:szCs w:val="44"/>
        </w:rPr>
      </w:pPr>
      <w:r>
        <w:rPr>
          <w:rFonts w:ascii="宋体" w:hAnsi="宋体" w:cs="华文中宋" w:hint="eastAsia"/>
          <w:sz w:val="44"/>
          <w:szCs w:val="44"/>
        </w:rPr>
        <w:t>山西省汾河流域生态修复与保护条例</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0" w:firstLine="0" w:startChars="320" w:endChars="280"/>
        <w:jc w:val="start"/>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t>(2017</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日山西省第十二届人民代表大会常务</w:t>
      </w:r>
    </w:p>
    <w:p>
      <w:pPr>
        <w:pStyle w:val="Normal"/>
        <w:snapToGrid w:val="false"/>
        <w:spacing w:lineRule="exact" w:line="578"/>
        <w:ind w:firstLineChars="0" w:firstLine="0" w:startChars="320" w:endChars="280"/>
        <w:jc w:val="start"/>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委员会第三十四次会议通过）</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 w:hAnsi="黑体" w:eastAsia="黑体" w:cs="仿宋_GB2312" w:hint="eastAsia"/>
          <w:sz w:val="32"/>
          <w:szCs w:val="32"/>
        </w:rPr>
      </w:pPr>
      <w:r>
        <w:rPr>
          <w:rFonts w:ascii="黑体" w:hAnsi="黑体" w:cs="黑体" w:hint="eastAsia" w:eastAsia="黑体"/>
          <w:sz w:val="32"/>
          <w:szCs w:val="32"/>
        </w:rPr>
        <w:t>第一章  总则</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为了加强汾河流域生态修复与保护，规范流域内开发、利用、建设等活动，实现汾河流域生态良好的目标，促进经济社会可持续发展，根据有关法律、行政法规，结合本省实际，制定本条例。</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本条例所称汾河流域，是指汾河干流及其支流汇水面积内的水域和陆域，以及出露带在流域范围内的岩溶泉域、跨流域向汾河补水的水源和输水工程沿线管理范围。</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本条例适用于汾河流域内生产、生活、生态修复与保护以及监督管理等活动。</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在汾河流域进行生态修复与保护应当坚持统一规划、保护优先、因地制宜、科学修复的原则。</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县级以上人民政府应当将汾河流域生态修复与保护工作纳入国民经济和社会发展规划，建立专项资金，逐步增加财政资金投入，并组织实施。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县级以上人民政府应当加强汾河流域生态修复与保护工作的组织领导，建立健全汾河流域生态修复与保护工作机制，协调和解决汾河流域生态修复与保护中的重大问题。</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各级人民政府应当按照国家规定设立河长，实行河长负责制，逐级落实本行政区域生态修复与保护责任。</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县级以上人民政府有关部门按照各自职责，负责汾河流域生态修复与保护的相关工作。</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黑体" w:hAnsi="黑体" w:cs="仿宋_GB2312" w:hint="eastAsia" w:eastAsia="黑体"/>
          <w:sz w:val="32"/>
          <w:szCs w:val="32"/>
        </w:rPr>
        <w:t xml:space="preserve"> </w:t>
      </w:r>
      <w:r>
        <w:rPr>
          <w:rFonts w:ascii="仿宋_GB2312" w:hAnsi="仿宋_GB2312" w:cs="仿宋_GB2312" w:hint="eastAsia" w:eastAsia="仿宋_GB2312"/>
          <w:sz w:val="32"/>
          <w:szCs w:val="32"/>
        </w:rPr>
        <w:t xml:space="preserve"> 汾河流域生态修复与保护实行目标责任制。</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汾河流域生态修复与保护目标任务应当逐年分解落实，其完成情况应当纳入政府及其有关部门年度目标责任考核内容，考核结果向社会公布。</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各级人民政府应当加强汾河流域生态修复与保护的宣传教育工作，增强公众生态保护意识。</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鼓励、引导社会资本参与汾河流域生态修复与保护。</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对在汾河流域生态修复与保护工作中做出突出贡献的单位和个人，县级以上人民政府应当给予表彰和奖励。</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 w:hAnsi="黑体" w:eastAsia="黑体" w:cs="仿宋_GB2312" w:hint="eastAsia"/>
          <w:sz w:val="32"/>
          <w:szCs w:val="32"/>
        </w:rPr>
      </w:pPr>
      <w:r>
        <w:rPr>
          <w:rFonts w:ascii="黑体" w:hAnsi="黑体" w:cs="黑体" w:hint="eastAsia" w:eastAsia="黑体"/>
          <w:sz w:val="32"/>
          <w:szCs w:val="32"/>
        </w:rPr>
        <w:t>第二章  规划与产业发展</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汾河流域生态修复与保护应当统一规划。</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省人民政府水行政主管部门会同有关部门和设区的市人民政府，编制汾河流域生态修复与保护综合规划，报省人民政府批准后实施。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县级以上人民政府有关部门根据汾河流域生态修复与保护综合规划，编制汾河流域生态修复与保护专项规划，报本级人民政府批准后实施。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规划变更应当经原审批机关审查批准。</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汾河流域生态修复与保护综合规划应当与国民经济和社会发展规划以及土地利用总体规划、城乡规划、水资源综合规划、环境保护总体规划等相协调。</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县级以上人民政府应当根据当地资源和生态环境承载能力，合理规划城乡建设和产业布局，优化产业结构。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省人民政府发展与改革行政主管部门应当会同同级经济和信息化、水行政和环境保护等部门，支持汾河流域内设区的市、县（市、区）人民政府落实主体功能区规划和国家产业结构调整指导目录，加快新兴产业发展；制定汾河流域限制、禁止发展的产业、产品目录，报省人民政府批准后公布实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 xml:space="preserve"> 县级以上人民政府应当鼓励企业使用新材料、新工艺、新技术，改造和提升传统产业，开展废弃物处理与再生资源综合利用，发展循环经济；鼓励依托汾河流域特有资源，发展具有地方特色的种植业、养殖业、林业、休闲观光农业、文化产业和旅游业。</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 w:hAnsi="黑体" w:eastAsia="黑体" w:cs="仿宋_GB2312" w:hint="eastAsia"/>
          <w:sz w:val="32"/>
          <w:szCs w:val="32"/>
        </w:rPr>
      </w:pPr>
      <w:r>
        <w:rPr>
          <w:rFonts w:ascii="黑体" w:hAnsi="黑体" w:cs="黑体" w:hint="eastAsia" w:eastAsia="黑体"/>
          <w:sz w:val="32"/>
          <w:szCs w:val="32"/>
        </w:rPr>
        <w:t>第三章  生态修复</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县级以上人民政府应当坚持自然修复与人工修复相结合，统筹规划，实行山、水、林、田、湖综合治理，提高汾河流域生态环境承载能力。</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优化水资源配置，兼顾上下游、左右岸和有关地区之间的利益，推进河湖连通，实现多源互补，恢复流域生态功能。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优先配置、使用地表水和再生水，合理利用外调水，有效涵养和保护地下水。</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适时开展人工增雨作业，有效利用空中水资源，促进汾河流域生态自然修复。</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恢复汾河流域水域和湿地，在确保防洪安全的前提下，增强河道及其两侧调蓄水功能，科学利用洪水资源。在汾河干流河道内建闸蓄水，两侧低洼地带和古水域恢复具有调蓄功能的湖泊、湿地、缓洪洼淀，增加地下水补给，提高汾河流域防洪标准和洪水利用能力。</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严格限制地下水开采。</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在地下水禁采区和限采区，不得开凿新井。已建成的水井依法限期封闭，水行政主管部门应当提供有效可靠的替代水源。</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水行政主管部门应当制定汾河流域关井压采总体方案。设区的市、县（市、区）人民政府水行政主管部门依照汾河流域生态修复与保护综合规划和汾河流域关井压采总体方案，会同有关部门制定区域关井压采分阶段实施方案，报本级人民政府批准后实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关井压采实施方案应当明确关井压采目标、阶段实施计划、关井期限、遇特殊年份水井启用程序、监督考核、奖惩制度等内容。</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建设节水型社会应当以农业节水为重点，统筹工业、生活节水，严格控制用水增量。</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发展集约型高效节水农业，推广先进的灌溉技术和方式，提高农田灌溉用水效率。</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结合产业结构调整、技术改造升级以及产品的更新换代，加强对冶金、煤化工、焦化、火电等高耗水行业的节水改造与管理，提高工业用水效率。</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鼓励使用再生水，给予政策补贴。园林绿化、环境卫生、建筑施工、洗车行业等应当优先使用雨水和符合水质标准的再生水。</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加快城镇集中供水管网改造力度，推广普及节水器具，全面推行阶梯水价制度。科学利用雨洪资源，建设海绵城市。</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县级以上人民政府应当优先支持城镇、农村生活污水处理项目。城镇应当建立和完善生产、生活污水处理及供排水等公共设施。对农村生产、生活污水应当采取无害化处理，防止直接进入河道和污染地下水。</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县级以上人民政府应当加大资金投入，加强对汾河源头的生态修复与保护。</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对汾河源头、主要支流源头、岩溶泉域重点保护区，实施科学造林、种草，实行封山育林，提高植被覆盖率；有计划地实施移民搬迁，依法关停破坏水资源、污染水环境的企业等措施，促进生态自然修复。</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县级以上人民政府及其有关部门应当将占用的河滩地、古水域恢复为湿地，逐步增加林地、湿地、水域面积，优化土地利用结构。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在水土流失严重的地区应当加大植树种草力度，增加高郁闭度森林水源涵养区，减少水土流失。</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在黄土沟壑区，以小流域为单元建设淤地坝工程，减少泥沙进入河流；在山区、丘陵区对坡耕地逐步实行坡改梯，</w:t>
      </w:r>
      <w:r>
        <w:rPr>
          <w:rFonts w:eastAsia="仿宋_GB2312" w:cs="仿宋_GB2312" w:hint="eastAsia" w:ascii="仿宋_GB2312" w:hAnsi="仿宋_GB2312"/>
          <w:sz w:val="32"/>
          <w:szCs w:val="32"/>
        </w:rPr>
        <w:t>25</w:t>
      </w:r>
      <w:r>
        <w:rPr>
          <w:rFonts w:ascii="仿宋_GB2312" w:hAnsi="仿宋_GB2312" w:cs="仿宋_GB2312" w:hint="eastAsia" w:eastAsia="仿宋_GB2312"/>
          <w:sz w:val="32"/>
          <w:szCs w:val="32"/>
        </w:rPr>
        <w:t>度以上坡耕地退耕还林，合理利用土地资源。</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县级以上人民政府有关部门应当逐步改善野生动植物生存环境，采取有效措施，保护野生动植物资源集中分布区、产卵场、索饵场、越冬场和迁徙洄游通道等场所。</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生态保护</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汾河流域水量分配方案由省人民政府水行政主管部门会同有关设区的市人民政府制定，报省人民政府批准后实施。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汾河流域水量调度应当遵循总量控制、断面流量控制、分级管理的原则，按照水量分配方案，实行年度水量调度计划、月旬水量调度方案和实时水量调度指令相结合的调度方式。</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设区的市、县（市、区）人民政府应当执行水量分配方案和上一级人民政府水行政主管部门的水量调度指令，确保断面流量符合规定的控制指标。</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县级以上人民政府应当依法划定河道、湖泊（水库）、引调水工程的管理和保护范围，实行河道、湖泊（水库）、引调水工程岸线分功能管理。</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河道、湖泊（水库）管理与保护范围内水域和土地的利用应当符合行洪、输水、滩涂开发的要求。</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禁止在河道内私挖滥采，确保河道防洪安全。</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禁止在引调水工程沿线保护范围内从事采石、采砂、取土、爆破等活动。</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在河道管理和保护范围内建设拦河、跨河建筑物、构筑物，铺设跨河管道、电缆，应当符合国家规定的防洪标准和其他有关的技术要求，工程建设方案应当依法报水行政主管部门审查同意。</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实施排污总量控制制度。</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县级以上人民政府水行政主管部门应当按照水功能区划对水质的要求和水体的自然净化能力，核定水域的纳污能力，向同级环境保护主管部门提出水域限制排污总量意见，实施排污总量控制。</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排污单位应当依照法律规定和有关技术规范设置排污口，并安装标志牌。排污口设置后不得随意变动。</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在饮用水源保护区内不得设置排污口。</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禁止占用或者征收、征用汾河流域内一级保护林地和天然草甸；禁止随意变更水源涵养林地和天然草甸用途。</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在造林绿化工程区和封山育林区，应当采取禁牧措施，保护幼林繁育成长。</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县级以上人民政府农业行政主管部门应当加大科技投入，推广使用安全、高效农药以及可降解地膜，指导农民科学合理施用化肥，防止农业面源污染。</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县级以上人民政府及其有关部门应当组织开展生态清洁型小流域建设，对本区域内城乡生产废弃物和生活垃圾实行分类处置和综合回收利用。</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鼓励利用沼气、太阳能、生物质能、风能等新能源。</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县级以上人民政府应当在煤矿采空区、沉陷区、煤矸石区，划定重点生态修复区，实施生态修复，防止再次破坏。</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开采矿产资源或者建设地下工程，导致地下水水位下降、水源枯竭或者地面塌陷，采矿企业或者建设单位应当采取补救措施；给他人生活和生产造成损失的，依法给予补偿。</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禁止在下列区域开采矿产资源：</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（一）汾河源头、主要支流源头、岩溶泉域重点保护区，饮用水水源一、二级保护区；</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（二）风景名胜区、重点文物保护区、地质遗迹保护区、自然保护区、森林公园、湿地公园；</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（三）一级国家保护公益林地、工程设施安全区；</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（四）法律、法规禁止开采矿产资源的其他区域。</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建设可能造成水土流失的项目，建设单位应当依法编制水土保持方案，并按照批准的水土保持方案，采取水土流失预防和治理措施。</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建设项目应当采取生态保护措施，选址应当避让生态保护区，无法避让的，应当提高防治标准，优化施工工艺，有效控制可能造成的生态破坏。</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对建设周期长、生态影响大的建设工程实行工程环境监理制。</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生态修复与保护工程应当与建设项目主体工程同时设计、同时施工、同时使用。</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县级以上人民政府应当采取措施加强天然林、水域和湿地保护，进行野生动植物种群及生息地监测，对种群濒危的野生动植物及其栖息环境，采取人工驯养繁殖（植）或者封育等措施进行恢复。</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旅游资源的开发与利用应当与当地生态环境相协调。</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对有损自然生态环境和景观的旅游景点和设施，县级以上人民政府应当责令管理或者建设单位限期改正、关闭或者拆除。</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按照权责统一、合理补偿和谁受益谁补偿的原则，建立森林、草地、湿地、荒漠、水流、耕地等区域的生态保护补偿机制。</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建立汾河源头、主要支流源头、岩溶泉域重点保护区、集中式饮用水源地生态补偿机制，补偿资金专项用于当地经济结构调整和社会事业发展。具体办法由省人民政府制定。</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监督检查</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县级以上人民政府应当组织水利、环保、农业、林业、国土资源、气象等有关部门，按照统一规划布局、统一标准方法、统一信息发布的要求，建立生态修复与保护监测体系和信息共享平台，实行数据信息共享和实时监测。</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县级以上人民政府应当建立汾河流域生态修复与保护联合执法检查机制，对联合执法检查中发现的问题，影响和破坏生态修复与保护的行为，有关部门在各自职责范围内依法进行处理。</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县级以上人民政府应当定期对汾河流域生态修复与保护工作的相关部门进行监督检查。监督检查的主要内容有：</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（一）上一年度生态修复与保护目标任务完成情况；</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（二）存在问题的整改落实情况；</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（三）需要检查的其他情况。</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县级以上人民政府应当每年对下一级人民政府的汾河流域生态修复与保护工作进行检查。</w:t>
      </w:r>
    </w:p>
    <w:p>
      <w:pPr>
        <w:pStyle w:val="Normal"/>
        <w:snapToGrid w:val="false"/>
        <w:spacing w:lineRule="exact" w:line="578"/>
        <w:ind w:firstLineChars="200" w:startChars="0" w:start="0" w:endChars="0" w:end="0"/>
        <w:jc w:val="start"/>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县级以上人民代表大会常务委员会应当定期对汾河流域生态修复与保护情况进行监督检查。监督检查情况向社会公布。</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违反本条例规定，法律、行政法规对法律责任已有具体规定的，从其规定。</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违反本条例规定，在引调水工程沿线保护范围内从事采石、采砂、取土、爆破等活动的，由县级以上人民政府水行政主管部门责令停止违法行为，限期清除障碍或者采取补救措施，并处一万元以上五万元以下的罚款，有违法所得的没收违法所得。</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违反本条例规定，擅自在河道保护范围内建设拦河、跨河建筑物、构筑物，铺设跨河管道、电缆的，由县级以上人民政府水行政主管部门责令停止违法行为，限期拆除；逾期不拆除的，依法强行拆除，所需费用由违法行为人承担，并处一万元以上十万元以下的罚款。</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违反本条例规定，占用天然草甸或者变更天然草甸用途的，由县级以上人民政府有关部门责令停止违法行为，限期恢复原状，并处非法占用天然草甸每平方米五十元的罚款。</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国家机关及其工作人员在生态修复与保护工作中违反本条例规定，有下列情形之一的，对直接负责的主管人员和其他直接责任人员依法给予处分；情节严重，构成犯罪的，依法追究刑事责任：</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（一）不执行汾河流域水量分配和调度计划、指令的；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（二）不执行汾河流域关井压采实施方案的；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（三）违反规定审批开发建设项目的；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（四）其他滥用职权、玩忽职守、徇私舞弊的。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Char">
    <w:name w:val="页脚 Char Char"/>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2017-11-24T16:20:00Z</dcterms:created>
  <dc:creator>lenovo</dc:creator>
  <dc:description/>
  <dc:language>en-US</dc:language>
  <cp:lastModifiedBy>xz</cp:lastModifiedBy>
  <dcterms:modified xsi:type="dcterms:W3CDTF">2017-12-27T10:26:39Z</dcterms:modified>
  <cp:revision>7</cp:revision>
  <dc:subject/>
  <dc:title>山西省汾河流域生态修复与保护条例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