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黑体" w:hAnsi="黑体" w:eastAsia="黑体" w:cs="黑体"/>
          <w:sz w:val="32"/>
          <w:szCs w:val="32"/>
        </w:rPr>
      </w:pPr>
      <w:r>
        <w:rPr>
          <w:rFonts w:eastAsia="黑体" w:cs="黑体" w:hint="eastAsia" w:ascii="黑体" w:hAnsi="黑体"/>
          <w:sz w:val="32"/>
          <w:szCs w:val="32"/>
        </w:rPr>
        <w:t xml:space="preserve">          </w:t>
      </w:r>
    </w:p>
    <w:p>
      <w:pPr>
        <w:pStyle w:val="Normal"/>
        <w:spacing w:lineRule="exact" w:line="400"/>
        <w:jc w:val="end"/>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jc w:val="both"/>
        <w:textAlignment w:val="auto"/>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jc w:val="center"/>
        <w:textAlignment w:val="auto"/>
        <w:rPr>
          <w:rFonts w:ascii="宋体" w:hAnsi="宋体" w:cs="宋体" w:hint="eastAsia"/>
          <w:b w:val="false"/>
          <w:bCs w:val="false"/>
          <w:sz w:val="32"/>
          <w:szCs w:val="32"/>
        </w:rPr>
      </w:pPr>
      <w:r>
        <w:rPr>
          <w:rFonts w:ascii="宋体" w:hAnsi="宋体" w:cs="宋体" w:hint="eastAsia"/>
          <w:b w:val="false"/>
          <w:bCs w:val="false"/>
          <w:sz w:val="44"/>
          <w:szCs w:val="44"/>
        </w:rPr>
        <w:t>山西省禁牧轮牧休牧条例</w:t>
      </w:r>
    </w:p>
    <w:p>
      <w:pPr>
        <w:pStyle w:val="Normal"/>
        <w:ind w:firstLineChars="100" w:startChars="0" w:start="0" w:endChars="0" w:end="0"/>
        <w:jc w:val="center"/>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ind w:firstLineChars="10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w:t>
      </w:r>
      <w:r>
        <w:rPr>
          <w:rFonts w:eastAsia="楷体_GB2312" w:cs="楷体_GB2312" w:ascii="楷体_GB2312" w:hAnsi="楷体_GB2312"/>
          <w:sz w:val="32"/>
          <w:szCs w:val="32"/>
          <w:lang w:val="en"/>
        </w:rPr>
        <w:t>2</w:t>
      </w:r>
      <w:r>
        <w:rPr>
          <w:rFonts w:ascii="楷体_GB2312" w:hAnsi="楷体_GB2312" w:cs="楷体_GB2312" w:hint="eastAsia" w:eastAsia="楷体_GB2312"/>
          <w:sz w:val="32"/>
          <w:szCs w:val="32"/>
        </w:rPr>
        <w:t>年</w:t>
      </w:r>
      <w:r>
        <w:rPr>
          <w:rFonts w:eastAsia="楷体_GB2312" w:cs="楷体_GB2312" w:ascii="楷体_GB2312" w:hAnsi="楷体_GB2312"/>
          <w:sz w:val="32"/>
          <w:szCs w:val="32"/>
          <w:lang w:val="en"/>
        </w:rPr>
        <w:t>1</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日山西省第十三届人民代表大会常务委员会第三十八次会议通过）</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40"/>
        <w:ind w:firstLineChars="0" w:firstLine="0" w:startChars="0" w:start="0" w:endChars="0" w:end="0"/>
        <w:jc w:val="both"/>
        <w:textAlignment w:val="auto"/>
        <w:rPr>
          <w:rFonts w:ascii="宋体" w:hAnsi="宋体" w:eastAsia="楷体_GB2312" w:cs="宋体" w:hint="eastAsia"/>
          <w:b/>
          <w:sz w:val="32"/>
          <w:szCs w:val="32"/>
        </w:rPr>
      </w:pPr>
      <w:r>
        <w:rPr>
          <w:rFonts w:eastAsia="楷体_GB2312"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第一条</w:t>
      </w:r>
      <w:r>
        <w:rPr>
          <w:rFonts w:ascii="仿宋;宋体" w:hAnsi="仿宋;宋体" w:cs="仿宋;宋体" w:hint="eastAsia" w:eastAsia="仿宋;宋体"/>
          <w:sz w:val="32"/>
          <w:szCs w:val="32"/>
        </w:rPr>
        <w:t xml:space="preserve">  为了保护、培育和修复林草植被，维护生态安全，促进经济社会可持续发展，根据《中华人民共和国草原法》《中华人民共和国森林法》等有关法律、行政法规，结合本省实际，制定本条例。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i w:val="false"/>
          <w:iCs w:val="false"/>
          <w:sz w:val="32"/>
          <w:szCs w:val="32"/>
        </w:rPr>
        <w:t>第二条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本省行政区域内的禁牧、轮牧、休牧及其管理活动适用本条例。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本条例所称禁牧是指在划定的区域内，禁止放牧期限一年以上的管护措施；轮牧是指在划定的区域内，划分成若干小区，按照一定的顺序定期轮流放牧的管护措施；休牧是指在划定的区域内，实行季节性禁止放牧的管护措施。</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第三条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禁牧、轮牧、休牧应当坚持政府主导、统筹规划、保护优先、科学利用、系统治理、全民参与的原则。</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第四条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 xml:space="preserve"> 县级以上人民政府应当加强对禁牧、轮牧、休牧工作的领导，将其纳入国民经济和社会发展规划，所需经费按照事权划分原则列入预算。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第五条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县级以上人民政府林业草原主管部门负责本行政区域内禁牧、轮牧、休牧的监督管理工作。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县级以上人民政府农业农村主管部门负责指导本行政区域内舍饲圈养、牲畜品种引进改良以及饲草种植开发利用的技术指导和推广服务工作。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县级以上人民政府发展改革、财政、自然资源、公安等部门按照各自职责，做好禁牧、轮牧、休牧相关工作。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第六条</w:t>
      </w:r>
      <w:r>
        <w:rPr>
          <w:rFonts w:ascii="仿宋;宋体" w:hAnsi="仿宋;宋体" w:cs="仿宋;宋体" w:hint="eastAsia" w:eastAsia="仿宋;宋体"/>
          <w:sz w:val="32"/>
          <w:szCs w:val="32"/>
        </w:rPr>
        <w:t xml:space="preserve">  乡（镇）人民政府</w:t>
      </w:r>
      <w:r>
        <w:rPr>
          <w:rFonts w:ascii="仿宋;宋体" w:hAnsi="仿宋;宋体" w:cs="仿宋;宋体" w:eastAsia="仿宋;宋体"/>
          <w:sz w:val="32"/>
          <w:szCs w:val="32"/>
        </w:rPr>
        <w:t>、</w:t>
      </w:r>
      <w:r>
        <w:rPr>
          <w:rFonts w:ascii="仿宋;宋体" w:hAnsi="仿宋;宋体" w:cs="仿宋;宋体" w:hint="eastAsia" w:eastAsia="仿宋;宋体"/>
          <w:sz w:val="32"/>
          <w:szCs w:val="32"/>
          <w:lang w:eastAsia="zh-CN"/>
        </w:rPr>
        <w:t>街道办事处</w:t>
      </w:r>
      <w:r>
        <w:rPr>
          <w:rFonts w:ascii="仿宋;宋体" w:hAnsi="仿宋;宋体" w:cs="仿宋;宋体" w:hint="eastAsia" w:eastAsia="仿宋;宋体"/>
          <w:sz w:val="32"/>
          <w:szCs w:val="32"/>
        </w:rPr>
        <w:t>具体组织实施相关的禁牧、轮牧、休牧工作。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村民委员会协助乡（镇）人民政府、街道办事处做好禁牧、轮牧、休牧相关工作，引导村民强化自我约束和管理，合理利用林草资源。</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第七条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县级以上人民政府林业草原主管部门和农业农村、发展改革、财政、自然资源、公安等部门，应当建立禁牧、轮牧、休牧工作协调机制。</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相邻的设区的市、县（市、区）人民政府应当建立禁牧、轮牧、休牧工作协作机制。</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u w:val="none"/>
        </w:rPr>
      </w:pPr>
      <w:r>
        <w:rPr>
          <w:rFonts w:ascii="黑体" w:hAnsi="黑体" w:cs="黑体" w:hint="eastAsia" w:eastAsia="黑体"/>
          <w:b w:val="false"/>
          <w:bCs w:val="false"/>
          <w:sz w:val="32"/>
          <w:szCs w:val="32"/>
        </w:rPr>
        <w:t>第八条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 xml:space="preserve"> 县级</w:t>
      </w:r>
      <w:r>
        <w:rPr>
          <w:rFonts w:ascii="仿宋;宋体" w:hAnsi="仿宋;宋体" w:cs="仿宋;宋体" w:hint="eastAsia" w:eastAsia="仿宋;宋体"/>
          <w:sz w:val="32"/>
          <w:szCs w:val="32"/>
          <w:u w:val="none"/>
        </w:rPr>
        <w:t>人民政府林业草原主管部门根据国土空间规划以及林业和草原发展规划等，结合本地实际制定禁牧、轮牧、休牧专项规划，</w:t>
      </w:r>
      <w:r>
        <w:rPr>
          <w:rFonts w:ascii="仿宋;宋体" w:hAnsi="仿宋;宋体" w:cs="仿宋;宋体" w:hint="eastAsia" w:eastAsia="仿宋;宋体"/>
          <w:sz w:val="32"/>
          <w:szCs w:val="32"/>
        </w:rPr>
        <w:t>划定禁牧区、轮牧区、休牧区，</w:t>
      </w:r>
      <w:r>
        <w:rPr>
          <w:rFonts w:ascii="仿宋;宋体" w:hAnsi="仿宋;宋体" w:cs="仿宋;宋体" w:hint="eastAsia" w:eastAsia="仿宋;宋体"/>
          <w:sz w:val="32"/>
          <w:szCs w:val="32"/>
          <w:u w:val="none"/>
        </w:rPr>
        <w:t>报本级人民政府批准后实施，并报设区的市人民政府林业草原主管部门备案。</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b w:val="false"/>
          <w:bCs w:val="false"/>
          <w:sz w:val="32"/>
          <w:szCs w:val="32"/>
        </w:rPr>
        <w:t>县级人民政府应当及时向社会公布禁牧区、轮牧区和休牧区，</w:t>
      </w:r>
      <w:r>
        <w:rPr>
          <w:rFonts w:ascii="仿宋;宋体" w:hAnsi="仿宋;宋体" w:cs="仿宋;宋体" w:hint="eastAsia" w:eastAsia="仿宋;宋体"/>
          <w:sz w:val="32"/>
          <w:szCs w:val="32"/>
        </w:rPr>
        <w:t>实行动态监管。</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eastAsia="仿宋;宋体" w:hint="eastAsia"/>
        </w:rPr>
      </w:pPr>
      <w:r>
        <w:rPr>
          <w:rFonts w:ascii="黑体" w:hAnsi="黑体" w:cs="黑体" w:hint="eastAsia" w:eastAsia="黑体"/>
          <w:b w:val="false"/>
          <w:bCs w:val="false"/>
          <w:sz w:val="32"/>
          <w:szCs w:val="32"/>
        </w:rPr>
        <w:t>第九条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县级人民政府林业草原主管部门应当依据国家草原载畜量标准，定期核定并公布本行政区域内草地载畜量。</w:t>
      </w:r>
    </w:p>
    <w:p>
      <w:pPr>
        <w:pStyle w:val="BodyText"/>
        <w:ind w:firstLineChars="200" w:startChars="0" w:start="0" w:endChars="0" w:end="0"/>
        <w:rPr>
          <w:rFonts w:ascii="仿宋;宋体" w:hAnsi="仿宋;宋体" w:eastAsia="仿宋;宋体" w:cs="仿宋;宋体" w:hint="eastAsia"/>
          <w:sz w:val="32"/>
          <w:szCs w:val="32"/>
        </w:rPr>
      </w:pPr>
      <w:r>
        <w:rPr>
          <w:rFonts w:ascii="仿宋;宋体" w:hAnsi="仿宋;宋体" w:cs="仿宋;宋体" w:hint="eastAsia" w:eastAsia="仿宋;宋体"/>
          <w:sz w:val="32"/>
          <w:szCs w:val="32"/>
        </w:rPr>
        <w:t>省和设区的市人民政府林业草原主管部门指导开展载畜量核定工作，并监督实施。</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第十条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 xml:space="preserve"> 下列区域应当划定为禁牧区：</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（一）封育期的林地；</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（二）人工造林二十年以内的林地；</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（三）严重退化、沙化、盐碱化的草地；</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（四）修复改良期内的草地；</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（五）划定为种质资源区的草地；</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（六）法律、法规规定禁牧的其他区域。</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第十一条</w:t>
      </w:r>
      <w:r>
        <w:rPr>
          <w:rFonts w:ascii="仿宋;宋体" w:hAnsi="仿宋;宋体" w:cs="仿宋;宋体" w:hint="eastAsia" w:eastAsia="仿宋;宋体"/>
          <w:b/>
          <w:bCs/>
          <w:sz w:val="32"/>
          <w:szCs w:val="32"/>
        </w:rPr>
        <w:t xml:space="preserve"> </w:t>
      </w:r>
      <w:r>
        <w:rPr>
          <w:rFonts w:ascii="仿宋;宋体" w:hAnsi="仿宋;宋体" w:cs="仿宋;宋体" w:eastAsia="仿宋;宋体"/>
          <w:b/>
          <w:bCs/>
          <w:sz w:val="32"/>
          <w:szCs w:val="32"/>
        </w:rPr>
        <w:t xml:space="preserve"> </w:t>
      </w:r>
      <w:r>
        <w:rPr>
          <w:rFonts w:ascii="仿宋;宋体" w:hAnsi="仿宋;宋体" w:cs="仿宋;宋体" w:hint="eastAsia" w:eastAsia="仿宋;宋体"/>
          <w:sz w:val="32"/>
          <w:szCs w:val="32"/>
          <w:lang w:eastAsia="zh-CN"/>
        </w:rPr>
        <w:t>林地</w:t>
      </w:r>
      <w:r>
        <w:rPr>
          <w:rFonts w:ascii="仿宋;宋体" w:hAnsi="仿宋;宋体" w:cs="仿宋;宋体" w:eastAsia="仿宋;宋体"/>
          <w:sz w:val="32"/>
          <w:szCs w:val="32"/>
          <w:lang w:eastAsia="zh-CN"/>
        </w:rPr>
        <w:t>、</w:t>
      </w:r>
      <w:r>
        <w:rPr>
          <w:rFonts w:ascii="仿宋;宋体" w:hAnsi="仿宋;宋体" w:cs="仿宋;宋体" w:hint="eastAsia" w:eastAsia="仿宋;宋体"/>
          <w:sz w:val="32"/>
          <w:szCs w:val="32"/>
        </w:rPr>
        <w:t>草地使用权人以及牲畜所有人、饲养人应当遵守禁牧、轮牧、休牧有关法律、法规，不得超载放牧或者在禁止放牧的区域放牧。</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第十二条</w:t>
      </w:r>
      <w:r>
        <w:rPr>
          <w:rFonts w:ascii="仿宋;宋体" w:hAnsi="仿宋;宋体" w:cs="仿宋;宋体" w:hint="eastAsia" w:eastAsia="仿宋;宋体"/>
          <w:sz w:val="32"/>
          <w:szCs w:val="32"/>
        </w:rPr>
        <w:t xml:space="preserve"> 县级人民政府林业草原主管部门应当在禁牧区、轮牧区、休牧区的主要路口和牲畜活动频繁的区域，设置界桩、围栏、标识等设施，载明区域名称、范围和期限。</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不得损毁或者擅自移动界桩、围栏、标识等设施。</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第十三条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县级人民政府林业草原主管部门应当建立巡查制度，并通报巡查结果。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第十四条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 xml:space="preserve"> 县级以上人民政府林业草原主管部门应当对禁牧、轮牧、休牧区域林地、草地生态植被恢复情况进行动态监测和评估，并定期向本级人民政府和上一级人民政府林业草原主管部门报告。</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sz w:val="32"/>
          <w:szCs w:val="32"/>
        </w:rPr>
      </w:pPr>
      <w:r>
        <w:rPr>
          <w:rFonts w:ascii="仿宋;宋体" w:hAnsi="仿宋;宋体" w:cs="仿宋;宋体" w:hint="eastAsia" w:eastAsia="仿宋;宋体"/>
          <w:sz w:val="32"/>
          <w:szCs w:val="32"/>
        </w:rPr>
        <w:t>各级人民政府应当充分运用信息技术手段，提高草畜平衡和禁牧、轮牧、休牧监督管理能力及水平。</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b w:val="false"/>
          <w:bCs w:val="false"/>
          <w:sz w:val="32"/>
          <w:szCs w:val="32"/>
        </w:rPr>
      </w:pPr>
      <w:r>
        <w:rPr>
          <w:rFonts w:ascii="黑体" w:hAnsi="黑体" w:cs="黑体" w:hint="eastAsia" w:eastAsia="黑体"/>
          <w:b w:val="false"/>
          <w:bCs w:val="false"/>
          <w:sz w:val="32"/>
          <w:szCs w:val="32"/>
        </w:rPr>
        <w:t>第十五条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b w:val="false"/>
          <w:bCs w:val="false"/>
          <w:sz w:val="32"/>
          <w:szCs w:val="32"/>
        </w:rPr>
        <w:t>县级以上人民政府应当制定扶持政策，对在禁牧区、轮牧区、休牧区实施舍饲圈养的，可以给予粮食、资金补助和技术扶持。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b w:val="false"/>
          <w:bCs w:val="false"/>
          <w:sz w:val="32"/>
          <w:szCs w:val="32"/>
        </w:rPr>
      </w:pPr>
      <w:r>
        <w:rPr>
          <w:rFonts w:ascii="仿宋;宋体" w:hAnsi="仿宋;宋体" w:cs="仿宋;宋体" w:hint="eastAsia" w:eastAsia="仿宋;宋体"/>
          <w:b w:val="false"/>
          <w:bCs w:val="false"/>
          <w:sz w:val="32"/>
          <w:szCs w:val="32"/>
        </w:rPr>
        <w:t>鼓励通过农民专业合作社、涉农企业等方式规范舍饲圈养、品种改良，发展农业养殖规模经营。</w:t>
      </w:r>
    </w:p>
    <w:p>
      <w:pPr>
        <w:pStyle w:val="BodyText"/>
        <w:ind w:firstLineChars="200" w:startChars="0" w:start="0" w:endChars="0" w:end="0"/>
        <w:rPr>
          <w:rFonts w:ascii="仿宋;宋体" w:hAnsi="仿宋;宋体" w:eastAsia="仿宋;宋体" w:cs="仿宋;宋体" w:hint="eastAsia"/>
          <w:b w:val="false"/>
          <w:bCs w:val="false"/>
          <w:sz w:val="32"/>
          <w:szCs w:val="32"/>
        </w:rPr>
      </w:pPr>
      <w:r>
        <w:rPr>
          <w:rFonts w:ascii="黑体" w:hAnsi="黑体" w:cs="黑体" w:hint="eastAsia" w:eastAsia="黑体"/>
          <w:b w:val="false"/>
          <w:bCs w:val="false"/>
          <w:kern w:val="2"/>
          <w:sz w:val="32"/>
          <w:szCs w:val="32"/>
        </w:rPr>
        <w:t>第十六条</w:t>
      </w:r>
      <w:r>
        <w:rPr>
          <w:rFonts w:ascii="仿宋;宋体" w:hAnsi="仿宋;宋体" w:cs="仿宋;宋体" w:hint="eastAsia" w:eastAsia="仿宋;宋体"/>
          <w:b w:val="false"/>
          <w:bCs w:val="false"/>
          <w:sz w:val="32"/>
          <w:szCs w:val="32"/>
        </w:rPr>
        <w:t xml:space="preserve">  县级以上人民政府应当建立健全生态保护补偿制度，对禁牧、轮牧、休牧区域内相关组织和个人给予补偿。</w:t>
      </w:r>
    </w:p>
    <w:p>
      <w:pPr>
        <w:pStyle w:val="BodyText"/>
        <w:ind w:firstLineChars="200" w:startChars="0" w:start="0" w:endChars="0" w:end="0"/>
        <w:rPr>
          <w:rFonts w:ascii="仿宋;宋体" w:hAnsi="仿宋;宋体" w:eastAsia="仿宋;宋体" w:cs="仿宋;宋体"/>
          <w:b w:val="false"/>
          <w:bCs w:val="false"/>
          <w:sz w:val="32"/>
          <w:szCs w:val="32"/>
        </w:rPr>
      </w:pPr>
      <w:r>
        <w:rPr>
          <w:rFonts w:ascii="黑体" w:hAnsi="黑体" w:cs="黑体" w:hint="eastAsia" w:eastAsia="黑体"/>
          <w:b w:val="false"/>
          <w:bCs w:val="false"/>
          <w:kern w:val="2"/>
          <w:sz w:val="32"/>
          <w:szCs w:val="32"/>
        </w:rPr>
        <w:t>第十七条</w:t>
      </w:r>
      <w:r>
        <w:rPr>
          <w:rFonts w:ascii="仿宋;宋体" w:hAnsi="仿宋;宋体" w:cs="仿宋;宋体" w:hint="eastAsia" w:eastAsia="仿宋;宋体"/>
          <w:b w:val="false"/>
          <w:bCs w:val="false"/>
          <w:sz w:val="32"/>
          <w:szCs w:val="32"/>
        </w:rPr>
        <w:t xml:space="preserve">  县级以上人民政府应当引导、扶持适宜禁牧、轮牧、休牧区域内的乡村特色产业发展，结合乡村振兴战略等有关政策，统筹资金在产业发展等方面给予补助。</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第十八条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各级人民政府应当加强禁牧、轮牧、休牧工作的宣传教育。</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报刊、广播、电视、互联网等媒体应当开展禁牧、轮牧、休牧相关法律法规、科学知识等的公益宣传。</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第十九条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任何组织和个人对违反本条例规定的行为都有权举报。</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仿宋;宋体" w:hAnsi="仿宋;宋体" w:cs="仿宋;宋体" w:hint="eastAsia" w:eastAsia="仿宋;宋体"/>
          <w:sz w:val="32"/>
          <w:szCs w:val="32"/>
        </w:rPr>
        <w:t>县级以上人民政府林业草原主管部门以及乡（镇）人民政府、街道办事处应当设立举报电话、信箱等，并向社会公布；对接到的举报，应当及时核实处理。</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宋体" w:hAnsi="宋体" w:cs="宋体" w:hint="eastAsia"/>
          <w:b/>
          <w:sz w:val="32"/>
          <w:szCs w:val="32"/>
        </w:rPr>
      </w:pPr>
      <w:r>
        <w:rPr>
          <w:rFonts w:ascii="黑体" w:hAnsi="黑体" w:cs="黑体" w:hint="eastAsia" w:eastAsia="黑体"/>
          <w:b w:val="false"/>
          <w:bCs w:val="false"/>
          <w:sz w:val="32"/>
          <w:szCs w:val="32"/>
        </w:rPr>
        <w:t>第二十条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县级以上人民政府按照国家和省有关规定，对在禁牧、轮牧、休牧工作中做出显著成绩的组织和个人给予表彰、奖励。</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第二十一条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 xml:space="preserve"> 违反本条例第十一条规定，超载放牧或者在禁止放牧的区域放牧的，由县级人民政府林业草原主管部门责令改正，并对</w:t>
      </w:r>
      <w:r>
        <w:rPr>
          <w:rFonts w:ascii="仿宋;宋体" w:hAnsi="仿宋;宋体" w:cs="仿宋;宋体" w:hint="eastAsia" w:eastAsia="仿宋;宋体"/>
          <w:sz w:val="32"/>
          <w:szCs w:val="32"/>
          <w:lang w:eastAsia="zh-CN"/>
        </w:rPr>
        <w:t>林地</w:t>
      </w:r>
      <w:r>
        <w:rPr>
          <w:rFonts w:ascii="仿宋;宋体" w:hAnsi="仿宋;宋体" w:cs="仿宋;宋体" w:eastAsia="仿宋;宋体"/>
          <w:sz w:val="32"/>
          <w:szCs w:val="32"/>
          <w:lang w:eastAsia="zh-CN"/>
        </w:rPr>
        <w:t>、</w:t>
      </w:r>
      <w:r>
        <w:rPr>
          <w:rFonts w:ascii="仿宋;宋体" w:hAnsi="仿宋;宋体" w:cs="仿宋;宋体" w:hint="eastAsia" w:eastAsia="仿宋;宋体"/>
          <w:sz w:val="32"/>
          <w:szCs w:val="32"/>
        </w:rPr>
        <w:t>草地使用权人或者牲畜所有人处以每个羊单位十元罚款，饲养人和牲畜所有人不一致的，同时对饲养人处以每个羊单位五元罚款。</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w:t>
      </w:r>
      <w:r>
        <w:rPr>
          <w:rFonts w:ascii="黑体" w:hAnsi="黑体" w:cs="黑体" w:hint="eastAsia" w:eastAsia="黑体"/>
          <w:b w:val="false"/>
          <w:bCs w:val="false"/>
          <w:sz w:val="32"/>
          <w:szCs w:val="32"/>
          <w:lang w:eastAsia="zh-CN"/>
        </w:rPr>
        <w:t>二十</w:t>
      </w:r>
      <w:r>
        <w:rPr>
          <w:rFonts w:ascii="黑体" w:hAnsi="黑体" w:cs="黑体" w:hint="eastAsia" w:eastAsia="黑体"/>
          <w:b w:val="false"/>
          <w:bCs w:val="false"/>
          <w:sz w:val="32"/>
          <w:szCs w:val="32"/>
        </w:rPr>
        <w:t>二条</w:t>
      </w:r>
      <w:r>
        <w:rPr>
          <w:rFonts w:ascii="仿宋;宋体" w:hAnsi="仿宋;宋体" w:cs="仿宋;宋体" w:hint="eastAsia" w:eastAsia="仿宋;宋体"/>
          <w:b/>
          <w:bCs/>
          <w:sz w:val="32"/>
          <w:szCs w:val="32"/>
        </w:rPr>
        <w:t xml:space="preserve"> </w:t>
      </w:r>
      <w:r>
        <w:rPr>
          <w:rFonts w:ascii="仿宋;宋体" w:hAnsi="仿宋;宋体" w:cs="仿宋;宋体" w:eastAsia="仿宋;宋体"/>
          <w:b/>
          <w:bCs/>
          <w:sz w:val="32"/>
          <w:szCs w:val="32"/>
        </w:rPr>
        <w:t xml:space="preserve"> </w:t>
      </w:r>
      <w:r>
        <w:rPr>
          <w:rFonts w:ascii="仿宋;宋体" w:hAnsi="仿宋;宋体" w:cs="仿宋;宋体" w:hint="eastAsia" w:eastAsia="仿宋;宋体"/>
          <w:sz w:val="32"/>
          <w:szCs w:val="32"/>
        </w:rPr>
        <w:t>违反本条例第十二条规定，损毁或者擅自移动界桩、围栏、标识等设施的，由县级人民政府林业草原主管部门处五百元以上两千元以下罚款。</w:t>
      </w:r>
    </w:p>
    <w:p>
      <w:pPr>
        <w:pStyle w:val="Normal"/>
        <w:ind w:firstLineChars="200" w:startChars="0" w:start="0" w:endChars="0" w:end="0"/>
        <w:rPr>
          <w:rFonts w:ascii="宋体" w:hAnsi="宋体" w:cs="宋体" w:hint="eastAsia"/>
          <w:b/>
          <w:sz w:val="32"/>
          <w:szCs w:val="32"/>
        </w:rPr>
      </w:pPr>
      <w:r>
        <w:rPr>
          <w:rFonts w:ascii="黑体" w:hAnsi="黑体" w:cs="黑体" w:hint="eastAsia" w:eastAsia="黑体"/>
          <w:b w:val="false"/>
          <w:bCs w:val="false"/>
          <w:sz w:val="32"/>
          <w:szCs w:val="32"/>
        </w:rPr>
        <w:t>第二十三条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 xml:space="preserve"> 林业</w:t>
      </w:r>
      <w:r>
        <w:rPr>
          <w:rFonts w:ascii="仿宋_GB2312" w:hAnsi="仿宋_GB2312" w:cs="仿宋_GB2312" w:eastAsia="仿宋_GB2312"/>
          <w:sz w:val="32"/>
        </w:rPr>
        <w:t>草原行政主管部门及其他国家机关工作人员</w:t>
      </w:r>
      <w:r>
        <w:rPr>
          <w:rFonts w:ascii="仿宋_GB2312" w:hAnsi="仿宋_GB2312" w:cs="仿宋_GB2312" w:hint="eastAsia" w:eastAsia="仿宋_GB2312"/>
          <w:sz w:val="32"/>
        </w:rPr>
        <w:t>在禁牧、轮牧、休牧工作中</w:t>
      </w:r>
      <w:r>
        <w:rPr>
          <w:rFonts w:ascii="仿宋;宋体" w:hAnsi="仿宋;宋体" w:cs="仿宋;宋体" w:eastAsia="仿宋;宋体"/>
          <w:sz w:val="32"/>
          <w:szCs w:val="32"/>
        </w:rPr>
        <w:t>滥用职权、玩忽职守、徇私舞弊</w:t>
      </w:r>
      <w:r>
        <w:rPr>
          <w:rFonts w:ascii="仿宋;宋体" w:hAnsi="仿宋;宋体" w:cs="仿宋;宋体" w:hint="eastAsia" w:eastAsia="仿宋;宋体"/>
          <w:sz w:val="32"/>
          <w:szCs w:val="32"/>
        </w:rPr>
        <w:t>的，</w:t>
      </w:r>
      <w:r>
        <w:rPr>
          <w:rFonts w:ascii="仿宋;宋体" w:hAnsi="仿宋;宋体" w:cs="仿宋;宋体" w:eastAsia="仿宋;宋体"/>
          <w:sz w:val="32"/>
          <w:szCs w:val="32"/>
        </w:rPr>
        <w:t>对直接负责的主管人员和其他</w:t>
      </w:r>
      <w:r>
        <w:rPr>
          <w:rFonts w:ascii="仿宋;宋体" w:hAnsi="仿宋;宋体" w:cs="仿宋;宋体" w:hint="eastAsia" w:eastAsia="仿宋;宋体"/>
          <w:sz w:val="32"/>
          <w:szCs w:val="32"/>
        </w:rPr>
        <w:t>直接</w:t>
      </w:r>
      <w:r>
        <w:rPr>
          <w:rFonts w:ascii="仿宋;宋体" w:hAnsi="仿宋;宋体" w:cs="仿宋;宋体" w:eastAsia="仿宋;宋体"/>
          <w:sz w:val="32"/>
          <w:szCs w:val="32"/>
        </w:rPr>
        <w:t>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第二十四条</w:t>
      </w:r>
      <w:r>
        <w:rPr>
          <w:rFonts w:ascii="仿宋;宋体" w:hAnsi="仿宋;宋体" w:cs="仿宋;宋体" w:hint="eastAsia" w:eastAsia="仿宋;宋体"/>
          <w:b/>
          <w:bCs/>
          <w:sz w:val="32"/>
          <w:szCs w:val="32"/>
        </w:rPr>
        <w:t xml:space="preserve">  </w:t>
      </w:r>
      <w:r>
        <w:rPr>
          <w:rFonts w:ascii="仿宋;宋体" w:hAnsi="仿宋;宋体" w:cs="仿宋;宋体" w:hint="eastAsia" w:eastAsia="仿宋;宋体"/>
          <w:sz w:val="32"/>
          <w:szCs w:val="32"/>
        </w:rPr>
        <w:t>本条例所称羊单位，是指</w:t>
      </w:r>
      <w:r>
        <w:rPr>
          <w:rFonts w:eastAsia="仿宋;宋体" w:cs="仿宋;宋体" w:hint="eastAsia" w:ascii="仿宋;宋体" w:hAnsi="仿宋;宋体"/>
          <w:sz w:val="32"/>
          <w:szCs w:val="32"/>
        </w:rPr>
        <w:t>1</w:t>
      </w:r>
      <w:r>
        <w:rPr>
          <w:rFonts w:ascii="仿宋;宋体" w:hAnsi="仿宋;宋体" w:cs="仿宋;宋体" w:hint="eastAsia" w:eastAsia="仿宋;宋体"/>
          <w:sz w:val="32"/>
          <w:szCs w:val="32"/>
        </w:rPr>
        <w:t>只体重</w:t>
      </w:r>
      <w:r>
        <w:rPr>
          <w:rFonts w:eastAsia="仿宋;宋体" w:cs="仿宋;宋体" w:hint="eastAsia" w:ascii="仿宋;宋体" w:hAnsi="仿宋;宋体"/>
          <w:sz w:val="32"/>
          <w:szCs w:val="32"/>
        </w:rPr>
        <w:t>45</w:t>
      </w:r>
      <w:r>
        <w:rPr>
          <w:rFonts w:eastAsia="仿宋;宋体" w:cs="仿宋;宋体" w:ascii="仿宋;宋体" w:hAnsi="仿宋;宋体"/>
          <w:sz w:val="32"/>
          <w:szCs w:val="32"/>
          <w:lang w:val="en"/>
        </w:rPr>
        <w:t>kg</w:t>
      </w:r>
      <w:r>
        <w:rPr>
          <w:rFonts w:ascii="仿宋;宋体" w:hAnsi="仿宋;宋体" w:cs="仿宋;宋体" w:hint="eastAsia" w:eastAsia="仿宋;宋体"/>
          <w:sz w:val="32"/>
          <w:szCs w:val="32"/>
          <w:lang w:val="en"/>
        </w:rPr>
        <w:t>日消耗</w:t>
      </w:r>
      <w:r>
        <w:rPr>
          <w:rFonts w:eastAsia="仿宋;宋体" w:cs="仿宋;宋体" w:hint="eastAsia" w:ascii="仿宋;宋体" w:hAnsi="仿宋;宋体"/>
          <w:sz w:val="32"/>
          <w:szCs w:val="32"/>
        </w:rPr>
        <w:t>1.8</w:t>
      </w:r>
      <w:r>
        <w:rPr>
          <w:rFonts w:eastAsia="仿宋;宋体" w:cs="仿宋;宋体" w:ascii="仿宋;宋体" w:hAnsi="仿宋;宋体"/>
          <w:sz w:val="32"/>
          <w:szCs w:val="32"/>
          <w:lang w:val="en"/>
        </w:rPr>
        <w:t>kg</w:t>
      </w:r>
      <w:r>
        <w:rPr>
          <w:rFonts w:ascii="仿宋;宋体" w:hAnsi="仿宋;宋体" w:cs="仿宋;宋体" w:hint="eastAsia" w:eastAsia="仿宋;宋体"/>
          <w:sz w:val="32"/>
          <w:szCs w:val="32"/>
          <w:lang w:val="en"/>
        </w:rPr>
        <w:t>标准干草的成年绵羊，或者与此相当的其他家畜</w:t>
      </w:r>
      <w:r>
        <w:rPr>
          <w:rFonts w:ascii="仿宋;宋体" w:hAnsi="仿宋;宋体" w:cs="仿宋;宋体" w:hint="eastAsia" w:eastAsia="仿宋;宋体"/>
          <w:sz w:val="32"/>
          <w:szCs w:val="32"/>
        </w:rPr>
        <w:t>。具体折算按行业标准执行。</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ascii="黑体" w:hAnsi="黑体" w:cs="黑体" w:hint="eastAsia" w:eastAsia="黑体"/>
          <w:b w:val="false"/>
          <w:bCs w:val="false"/>
          <w:sz w:val="32"/>
          <w:szCs w:val="32"/>
        </w:rPr>
        <w:t>第二十五条</w:t>
      </w:r>
      <w:r>
        <w:rPr>
          <w:rFonts w:ascii="仿宋;宋体" w:hAnsi="仿宋;宋体" w:cs="仿宋;宋体" w:hint="eastAsia" w:eastAsia="仿宋;宋体"/>
          <w:sz w:val="32"/>
          <w:szCs w:val="32"/>
        </w:rPr>
        <w:t xml:space="preserve">  本条例自</w:t>
      </w:r>
      <w:r>
        <w:rPr>
          <w:rFonts w:eastAsia="仿宋;宋体" w:cs="仿宋;宋体" w:hint="eastAsia" w:ascii="仿宋;宋体" w:hAnsi="仿宋;宋体"/>
          <w:sz w:val="32"/>
          <w:szCs w:val="32"/>
        </w:rPr>
        <w:t>2023</w:t>
      </w:r>
      <w:r>
        <w:rPr>
          <w:rFonts w:ascii="仿宋;宋体" w:hAnsi="仿宋;宋体" w:cs="仿宋;宋体" w:hint="eastAsia" w:eastAsia="仿宋;宋体"/>
          <w:sz w:val="32"/>
          <w:szCs w:val="32"/>
        </w:rPr>
        <w:t>年</w:t>
      </w:r>
      <w:r>
        <w:rPr>
          <w:rFonts w:eastAsia="仿宋;宋体" w:cs="仿宋;宋体" w:hint="eastAsia" w:ascii="仿宋;宋体" w:hAnsi="仿宋;宋体"/>
          <w:sz w:val="32"/>
          <w:szCs w:val="32"/>
        </w:rPr>
        <w:t>1</w:t>
      </w:r>
      <w:r>
        <w:rPr>
          <w:rFonts w:ascii="仿宋;宋体" w:hAnsi="仿宋;宋体" w:cs="仿宋;宋体" w:hint="eastAsia" w:eastAsia="仿宋;宋体"/>
          <w:sz w:val="32"/>
          <w:szCs w:val="32"/>
        </w:rPr>
        <w:t>月</w:t>
      </w:r>
      <w:r>
        <w:rPr>
          <w:rFonts w:eastAsia="仿宋;宋体" w:cs="仿宋;宋体" w:hint="eastAsia" w:ascii="仿宋;宋体" w:hAnsi="仿宋;宋体"/>
          <w:sz w:val="32"/>
          <w:szCs w:val="32"/>
        </w:rPr>
        <w:t>1</w:t>
      </w:r>
      <w:r>
        <w:rPr>
          <w:rFonts w:ascii="仿宋;宋体" w:hAnsi="仿宋;宋体" w:cs="仿宋;宋体" w:hint="eastAsia" w:eastAsia="仿宋;宋体"/>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宋体" w:hAnsi="仿宋;宋体" w:eastAsia="仿宋;宋体" w:cs="仿宋;宋体" w:hint="eastAsia"/>
          <w:sz w:val="32"/>
          <w:szCs w:val="32"/>
        </w:rPr>
      </w:pPr>
      <w:r>
        <w:rPr>
          <w:rFonts w:eastAsia="仿宋;宋体" w:cs="仿宋;宋体" w:hint="eastAsia" w:ascii="仿宋;宋体" w:hAnsi="仿宋;宋体"/>
          <w:sz w:val="32"/>
          <w:szCs w:val="32"/>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p>
      <w:pPr>
        <w:pStyle w:val="BodyText"/>
        <w:spacing w:before="0" w:after="120"/>
        <w:rPr>
          <w:rFonts w:ascii="方正仿宋_GBK" w:hAnsi="方正仿宋_GBK" w:eastAsia="方正仿宋_GBK" w:cs="方正仿宋_GBK" w:hint="eastAsia"/>
          <w:color w:val="000000"/>
          <w:sz w:val="24"/>
          <w:szCs w:val="24"/>
          <w:lang w:val="en"/>
        </w:rPr>
      </w:pPr>
      <w:r>
        <w:rPr>
          <w:rFonts w:eastAsia="方正仿宋_GBK" w:cs="方正仿宋_GBK" w:hint="eastAsia" w:ascii="方正仿宋_GBK" w:hAnsi="方正仿宋_GBK"/>
          <w:color w:val="000000"/>
          <w:sz w:val="24"/>
          <w:szCs w:val="24"/>
          <w:lang w:val="en"/>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Times New Roman">
    <w:altName w:val="DejaVu Sans"/>
    <w:charset w:val="00" w:characterSet="windows-1252"/>
    <w:family w:val="roman"/>
    <w:pitch w:val="default"/>
  </w:font>
  <w:font w:name="仿宋_GB2312">
    <w:charset w:val="86"/>
    <w:family w:val="auto"/>
    <w:pitch w:val="default"/>
  </w:font>
  <w:font w:name="Liberation Sans">
    <w:altName w:val="Arial"/>
    <w:charset w:val="01" w:characterSet="utf-8"/>
    <w:family w:val="swiss"/>
    <w:pitch w:val="variable"/>
  </w:font>
  <w:font w:name="仿宋">
    <w:altName w:val="宋体"/>
    <w:charset w:val="00" w:characterSet="windows-1252"/>
    <w:family w:val="auto"/>
    <w:pitch w:val="default"/>
  </w:font>
  <w:font w:name="黑体">
    <w:charset w:val="86"/>
    <w:family w:val="auto"/>
    <w:pitch w:val="default"/>
  </w:font>
  <w:font w:name="宋体">
    <w:charset w:val="86"/>
    <w:family w:val="auto"/>
    <w:pitch w:val="default"/>
  </w:font>
  <w:font w:name="楷体_GB2312">
    <w:charset w:val="86"/>
    <w:family w:val="modern"/>
    <w:pitch w:val="default"/>
  </w:font>
  <w:font w:name="方正仿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87630" cy="252730"/>
              <wp:effectExtent l="0" t="0" r="0" b="0"/>
              <wp:wrapNone/>
              <wp:docPr id="1" name="Frame1"/>
              <a:graphic xmlns:a="http://schemas.openxmlformats.org/drawingml/2006/main">
                <a:graphicData uri="http://schemas.microsoft.com/office/word/2010/wordprocessingShape">
                  <wps:wsp>
                    <wps:cNvSpPr txBox="1"/>
                    <wps:spPr>
                      <a:xfrm>
                        <a:off x="0" y="0"/>
                        <a:ext cx="87630" cy="252730"/>
                      </a:xfrm>
                      <a:prstGeom prst="rect"/>
                      <a:solidFill>
                        <a:srgbClr val="FFFFFF">
                          <a:alpha val="0"/>
                        </a:srgbClr>
                      </a:solidFill>
                    </wps:spPr>
                    <wps:txbx>
                      <w:txbxContent>
                        <w:p>
                          <w:pPr>
                            <w:pStyle w:val="Foo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fldChar w:fldCharType="begin"/>
                          </w:r>
                          <w:r>
                            <w:rPr>
                              <w:rFonts w:eastAsia="方正仿宋_GBK" w:cs="方正仿宋_GBK" w:hint="eastAsia" w:ascii="方正仿宋_GBK" w:hAnsi="方正仿宋_GBK"/>
                              <w:sz w:val="28"/>
                              <w:szCs w:val="28"/>
                            </w:rPr>
                            <w:instrText xml:space="preserve"> PAGE </w:instrText>
                          </w:r>
                          <w:r>
                            <w:rPr>
                              <w:rFonts w:eastAsia="方正仿宋_GBK" w:cs="方正仿宋_GBK" w:hint="eastAsia" w:ascii="方正仿宋_GBK" w:hAnsi="方正仿宋_GBK"/>
                              <w:sz w:val="28"/>
                              <w:szCs w:val="28"/>
                            </w:rPr>
                            <w:fldChar w:fldCharType="separate"/>
                          </w:r>
                          <w:r>
                            <w:rPr>
                              <w:rFonts w:eastAsia="方正仿宋_GBK" w:cs="方正仿宋_GBK" w:hint="eastAsia" w:ascii="方正仿宋_GBK" w:hAnsi="方正仿宋_GBK"/>
                              <w:sz w:val="28"/>
                              <w:szCs w:val="28"/>
                            </w:rPr>
                            <w:t>6</w:t>
                          </w:r>
                          <w:r>
                            <w:rPr>
                              <w:rFonts w:eastAsia="方正仿宋_GBK" w:cs="方正仿宋_GBK" w:hint="eastAsia" w:ascii="方正仿宋_GBK" w:hAnsi="方正仿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9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fldChar w:fldCharType="begin"/>
                    </w:r>
                    <w:r>
                      <w:rPr>
                        <w:rFonts w:eastAsia="方正仿宋_GBK" w:cs="方正仿宋_GBK" w:hint="eastAsia" w:ascii="方正仿宋_GBK" w:hAnsi="方正仿宋_GBK"/>
                        <w:sz w:val="28"/>
                        <w:szCs w:val="28"/>
                      </w:rPr>
                      <w:instrText xml:space="preserve"> PAGE </w:instrText>
                    </w:r>
                    <w:r>
                      <w:rPr>
                        <w:rFonts w:eastAsia="方正仿宋_GBK" w:cs="方正仿宋_GBK" w:hint="eastAsia" w:ascii="方正仿宋_GBK" w:hAnsi="方正仿宋_GBK"/>
                        <w:sz w:val="28"/>
                        <w:szCs w:val="28"/>
                      </w:rPr>
                      <w:fldChar w:fldCharType="separate"/>
                    </w:r>
                    <w:r>
                      <w:rPr>
                        <w:rFonts w:eastAsia="方正仿宋_GBK" w:cs="方正仿宋_GBK" w:hint="eastAsia" w:ascii="方正仿宋_GBK" w:hAnsi="方正仿宋_GBK"/>
                        <w:sz w:val="28"/>
                        <w:szCs w:val="28"/>
                      </w:rPr>
                      <w:t>6</w:t>
                    </w:r>
                    <w:r>
                      <w:rPr>
                        <w:rFonts w:eastAsia="方正仿宋_GBK" w:cs="方正仿宋_GBK" w:hint="eastAsia" w:ascii="方正仿宋_GBK" w:hAnsi="方正仿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5"/>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DejaVu Sans" w:hAnsi="Calibri;DejaVu Sans" w:eastAsia="宋体" w:cs="Times New Roman;DejaVu Sans"/>
      <w:color w:val="auto"/>
      <w:kern w:val="2"/>
      <w:sz w:val="21"/>
      <w:szCs w:val="24"/>
      <w:lang w:bidi="ar-SA" w:val="en-US" w:eastAsia="zh-CN"/>
    </w:rPr>
  </w:style>
  <w:style w:type="paragraph" w:styleId="Heading1">
    <w:name w:val="heading 1"/>
    <w:next w:val="Normal"/>
    <w:qFormat/>
    <w:pPr>
      <w:keepNext w:val="true"/>
      <w:keepLines/>
      <w:widowControl/>
      <w:numPr>
        <w:ilvl w:val="0"/>
        <w:numId w:val="1"/>
      </w:numPr>
      <w:bidi w:val="0"/>
      <w:spacing w:before="0" w:after="240"/>
      <w:jc w:val="center"/>
      <w:outlineLvl w:val="0"/>
    </w:pPr>
    <w:rPr>
      <w:rFonts w:ascii="Times New Roman;DejaVu Sans" w:hAnsi="Times New Roman;DejaVu Sans" w:eastAsia="宋体" w:cs="Times New Roman;DejaVu Sans"/>
      <w:b/>
      <w:bCs/>
      <w:color w:val="auto"/>
      <w:kern w:val="2"/>
      <w:sz w:val="36"/>
      <w:szCs w:val="36"/>
      <w:lang w:bidi="ar-SA" w:val="en-US" w:eastAsia="zh-CN"/>
    </w:rPr>
  </w:style>
  <w:style w:type="paragraph" w:styleId="Heading5">
    <w:name w:val="heading 5"/>
    <w:basedOn w:val="Normal"/>
    <w:next w:val="Normal"/>
    <w:qFormat/>
    <w:pPr>
      <w:numPr>
        <w:ilvl w:val="4"/>
        <w:numId w:val="1"/>
      </w:numPr>
      <w:snapToGrid w:val="false"/>
      <w:spacing w:lineRule="auto" w:line="360"/>
      <w:ind w:firstLineChars="200" w:startChars="0" w:start="0" w:endChars="0" w:end="0"/>
      <w:outlineLvl w:val="4"/>
    </w:pPr>
    <w:rPr>
      <w:rFonts w:ascii="仿宋_GB2312" w:hAnsi="仿宋_GB2312" w:eastAsia="仿宋_GB2312" w:cs="Times New Roman;DejaVu Sans"/>
      <w:sz w:val="32"/>
      <w:szCs w:val="28"/>
    </w:rPr>
  </w:style>
  <w:style w:type="character" w:styleId="Style12">
    <w:name w:val="默认段落字体"/>
    <w:qFormat/>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DejaVu Sans" w:hAnsi="Calibri;DejaVu Sans" w:eastAsia="宋体" w:cs="Times New Roman;DejaVu Sans"/>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basedOn w:val="Normal"/>
    <w:qFormat/>
    <w:pPr>
      <w:ind w:firstLineChars="200" w:startChars="0" w:start="0" w:endChars="0" w:end="0"/>
    </w:pPr>
    <w:rPr>
      <w:rFonts w:ascii="仿宋;宋体" w:hAnsi="仿宋;宋体" w:eastAsia="仿宋;宋体" w:cs="仿宋;宋体"/>
      <w:sz w:val="32"/>
      <w:szCs w:val="32"/>
    </w:rPr>
  </w:style>
  <w:style w:type="paragraph" w:styleId="Style13">
    <w:name w:val="引文目录"/>
    <w:basedOn w:val="Normal"/>
    <w:next w:val="Normal"/>
    <w:qFormat/>
    <w:pPr>
      <w:ind w:firstLineChars="0" w:firstLine="0" w:startChars="200" w:endChars="0" w:end="0"/>
    </w:pPr>
    <w:rPr>
      <w:sz w:val="32"/>
      <w:szCs w:val="32"/>
    </w:rPr>
  </w:style>
  <w:style w:type="paragraph" w:styleId="Style14">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2014-11-12T20:08:00Z</dcterms:created>
  <dc:creator>Administrator</dc:creator>
  <dc:description/>
  <dc:language>en-US</dc:language>
  <cp:lastModifiedBy>user</cp:lastModifiedBy>
  <cp:lastPrinted>2022-11-01T07:28:00Z</cp:lastPrinted>
  <dcterms:modified xsi:type="dcterms:W3CDTF">2023-02-26T19:26:57Z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0D802689DF3B4030B0C84B8A00F7048A</vt:lpwstr>
  </property>
  <property fmtid="{D5CDD505-2E9C-101B-9397-08002B2CF9AE}" pid="3" name="KSOProductBuildVer">
    <vt:lpwstr>2052-11.8.2.10125</vt:lpwstr>
  </property>
</Properties>
</file>