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ageBreakBefore w:val="false"/>
        <w:widowControl w:val="false"/>
        <w:kinsoku w:val="true"/>
        <w:overflowPunct w:val="true"/>
        <w:autoSpaceDE w:val="true"/>
        <w:bidi w:val="0"/>
        <w:spacing w:lineRule="exact" w:line="560" w:before="40" w:after="40"/>
        <w:ind w:firstLineChars="0" w:firstLine="0" w:startChars="0" w:start="0" w:endChars="0" w:end="0"/>
        <w:jc w:val="both"/>
        <w:textAlignment w:val="auto"/>
        <w:rPr>
          <w:rFonts w:ascii="方正小标宋简体" w:hAnsi="方正小标宋简体" w:eastAsia="方正小标宋简体" w:cs="方正小标宋简体" w:hint="eastAsia"/>
          <w:b w:val="false"/>
          <w:bCs/>
          <w:color w:val="000000"/>
          <w:sz w:val="48"/>
          <w:szCs w:val="48"/>
          <w:highlight w:val="none"/>
        </w:rPr>
      </w:pPr>
      <w:r>
        <w:rPr>
          <w:rFonts w:eastAsia="方正小标宋简体" w:cs="方正小标宋简体" w:hint="eastAsia" w:ascii="方正小标宋简体" w:hAnsi="方正小标宋简体"/>
          <w:b w:val="false"/>
          <w:bCs/>
          <w:color w:val="000000"/>
          <w:sz w:val="48"/>
          <w:szCs w:val="48"/>
        </w:rPr>
      </w:r>
    </w:p>
    <w:p>
      <w:pPr>
        <w:pStyle w:val="Heading1"/>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方正小标宋简体" w:hAnsi="方正小标宋简体" w:eastAsia="方正小标宋简体" w:cs="方正小标宋简体" w:hint="eastAsia"/>
          <w:b w:val="false"/>
          <w:bCs/>
          <w:color w:val="000000"/>
          <w:sz w:val="48"/>
          <w:szCs w:val="48"/>
          <w:highlight w:val="none"/>
        </w:rPr>
      </w:pPr>
      <w:r>
        <w:rPr>
          <w:rFonts w:ascii="方正小标宋简体" w:hAnsi="方正小标宋简体" w:cs="方正小标宋简体" w:hint="eastAsia" w:eastAsia="方正小标宋简体"/>
          <w:b w:val="false"/>
          <w:bCs/>
          <w:color w:val="000000"/>
          <w:sz w:val="48"/>
          <w:szCs w:val="48"/>
        </w:rPr>
        <w:t>吕梁市城市绿化条例</w:t>
      </w:r>
    </w:p>
    <w:p>
      <w:pPr>
        <w:pStyle w:val="Normal"/>
        <w:rPr>
          <w:rFonts w:ascii="方正小标宋简体" w:hAnsi="方正小标宋简体" w:eastAsia="方正小标宋简体" w:cs="方正小标宋简体" w:hint="eastAsia"/>
          <w:b w:val="false"/>
          <w:bCs/>
          <w:color w:val="000000"/>
          <w:sz w:val="48"/>
          <w:szCs w:val="48"/>
          <w:highlight w:val="none"/>
        </w:rPr>
      </w:pPr>
      <w:r>
        <w:rPr>
          <w:rFonts w:eastAsia="方正小标宋简体" w:cs="方正小标宋简体" w:hint="eastAsia" w:ascii="方正小标宋简体" w:hAnsi="方正小标宋简体"/>
          <w:b w:val="false"/>
          <w:bCs/>
          <w:color w:val="000000"/>
          <w:sz w:val="48"/>
          <w:szCs w:val="48"/>
        </w:rPr>
      </w:r>
    </w:p>
    <w:p>
      <w:pPr>
        <w:pStyle w:val="Normal"/>
        <w:keepNext w:val="false"/>
        <w:keepLines w:val="false"/>
        <w:pageBreakBefore w:val="false"/>
        <w:widowControl w:val="false"/>
        <w:kinsoku w:val="true"/>
        <w:overflowPunct w:val="true"/>
        <w:autoSpaceDE w:val="true"/>
        <w:bidi w:val="0"/>
        <w:snapToGrid w:val="true"/>
        <w:spacing w:lineRule="exact" w:line="560"/>
        <w:ind w:endChars="0" w:end="0"/>
        <w:jc w:val="start"/>
        <w:textAlignment w:val="auto"/>
        <w:rPr>
          <w:rFonts w:ascii="楷体" w:hAnsi="楷体" w:eastAsia="楷体" w:cs="楷体" w:hint="eastAsia"/>
          <w:b w:val="false"/>
          <w:bCs/>
          <w:color w:val="000000"/>
          <w:sz w:val="32"/>
          <w:szCs w:val="32"/>
          <w:highlight w:val="none"/>
        </w:rPr>
      </w:pPr>
      <w:r>
        <w:rPr>
          <w:rFonts w:ascii="楷体" w:hAnsi="楷体" w:cs="楷体" w:hint="eastAsia" w:eastAsia="楷体"/>
          <w:b w:val="false"/>
          <w:bCs/>
          <w:color w:val="000000"/>
          <w:sz w:val="32"/>
          <w:szCs w:val="32"/>
        </w:rPr>
        <w:t>（</w:t>
      </w:r>
      <w:r>
        <w:rPr>
          <w:rFonts w:eastAsia="楷体" w:cs="楷体" w:hint="eastAsia" w:ascii="楷体" w:hAnsi="楷体"/>
          <w:b w:val="false"/>
          <w:bCs/>
          <w:color w:val="000000"/>
          <w:sz w:val="32"/>
          <w:szCs w:val="32"/>
        </w:rPr>
        <w:t xml:space="preserve">2016 </w:t>
      </w:r>
      <w:r>
        <w:rPr>
          <w:rFonts w:ascii="楷体" w:hAnsi="楷体" w:cs="楷体" w:hint="eastAsia" w:eastAsia="楷体"/>
          <w:b w:val="false"/>
          <w:bCs/>
          <w:color w:val="000000"/>
          <w:sz w:val="32"/>
          <w:szCs w:val="32"/>
        </w:rPr>
        <w:t>年</w:t>
      </w:r>
      <w:r>
        <w:rPr>
          <w:rFonts w:eastAsia="楷体" w:cs="楷体" w:hint="eastAsia" w:ascii="楷体" w:hAnsi="楷体"/>
          <w:b w:val="false"/>
          <w:bCs/>
          <w:color w:val="000000"/>
          <w:sz w:val="32"/>
          <w:szCs w:val="32"/>
        </w:rPr>
        <w:t>12</w:t>
      </w:r>
      <w:r>
        <w:rPr>
          <w:rFonts w:ascii="楷体" w:hAnsi="楷体" w:cs="楷体" w:hint="eastAsia" w:eastAsia="楷体"/>
          <w:b w:val="false"/>
          <w:bCs/>
          <w:color w:val="000000"/>
          <w:sz w:val="32"/>
          <w:szCs w:val="32"/>
        </w:rPr>
        <w:t>月</w:t>
      </w:r>
      <w:r>
        <w:rPr>
          <w:rFonts w:eastAsia="楷体" w:cs="楷体" w:hint="eastAsia" w:ascii="楷体" w:hAnsi="楷体"/>
          <w:b w:val="false"/>
          <w:bCs/>
          <w:color w:val="000000"/>
          <w:sz w:val="32"/>
          <w:szCs w:val="32"/>
        </w:rPr>
        <w:t>27</w:t>
      </w:r>
      <w:r>
        <w:rPr>
          <w:rFonts w:ascii="楷体" w:hAnsi="楷体" w:cs="楷体" w:hint="eastAsia" w:eastAsia="楷体"/>
          <w:b w:val="false"/>
          <w:bCs/>
          <w:color w:val="000000"/>
          <w:sz w:val="32"/>
          <w:szCs w:val="32"/>
        </w:rPr>
        <w:t>日吕梁市第三届人民代表大会常务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60"/>
        <w:ind w:endChars="0" w:end="0"/>
        <w:jc w:val="start"/>
        <w:textAlignment w:val="auto"/>
        <w:rPr>
          <w:rFonts w:ascii="楷体" w:hAnsi="楷体" w:eastAsia="楷体" w:cs="楷体" w:hint="eastAsia"/>
          <w:b w:val="false"/>
          <w:bCs/>
          <w:color w:val="000000"/>
          <w:sz w:val="32"/>
          <w:szCs w:val="32"/>
          <w:highlight w:val="none"/>
        </w:rPr>
      </w:pPr>
      <w:r>
        <w:rPr>
          <w:rFonts w:ascii="楷体" w:hAnsi="楷体" w:cs="楷体" w:hint="eastAsia" w:eastAsia="楷体"/>
          <w:b w:val="false"/>
          <w:bCs/>
          <w:color w:val="000000"/>
          <w:sz w:val="32"/>
          <w:szCs w:val="32"/>
        </w:rPr>
        <w:t xml:space="preserve">委员会第九次会议通过  </w:t>
      </w:r>
      <w:r>
        <w:rPr>
          <w:rFonts w:eastAsia="楷体" w:cs="楷体" w:hint="eastAsia" w:ascii="楷体" w:hAnsi="楷体"/>
          <w:b w:val="false"/>
          <w:bCs/>
          <w:color w:val="000000"/>
          <w:sz w:val="32"/>
          <w:szCs w:val="32"/>
        </w:rPr>
        <w:t>2017</w:t>
      </w:r>
      <w:r>
        <w:rPr>
          <w:rFonts w:ascii="楷体" w:hAnsi="楷体" w:cs="楷体" w:hint="eastAsia" w:eastAsia="楷体"/>
          <w:b w:val="false"/>
          <w:bCs/>
          <w:color w:val="000000"/>
          <w:sz w:val="32"/>
          <w:szCs w:val="32"/>
        </w:rPr>
        <w:t>年</w:t>
      </w:r>
      <w:r>
        <w:rPr>
          <w:rFonts w:eastAsia="楷体" w:cs="楷体" w:hint="eastAsia" w:ascii="楷体" w:hAnsi="楷体"/>
          <w:b w:val="false"/>
          <w:bCs/>
          <w:color w:val="000000"/>
          <w:sz w:val="32"/>
          <w:szCs w:val="32"/>
        </w:rPr>
        <w:t>1</w:t>
      </w:r>
      <w:r>
        <w:rPr>
          <w:rFonts w:ascii="楷体" w:hAnsi="楷体" w:cs="楷体" w:hint="eastAsia" w:eastAsia="楷体"/>
          <w:b w:val="false"/>
          <w:bCs/>
          <w:color w:val="000000"/>
          <w:sz w:val="32"/>
          <w:szCs w:val="32"/>
        </w:rPr>
        <w:t>月</w:t>
      </w:r>
      <w:r>
        <w:rPr>
          <w:rFonts w:eastAsia="楷体" w:cs="楷体" w:hint="eastAsia" w:ascii="楷体" w:hAnsi="楷体"/>
          <w:b w:val="false"/>
          <w:bCs/>
          <w:color w:val="000000"/>
          <w:sz w:val="32"/>
          <w:szCs w:val="32"/>
        </w:rPr>
        <w:t>11</w:t>
      </w:r>
      <w:r>
        <w:rPr>
          <w:rFonts w:ascii="楷体" w:hAnsi="楷体" w:cs="楷体" w:hint="eastAsia" w:eastAsia="楷体"/>
          <w:b w:val="false"/>
          <w:bCs/>
          <w:color w:val="000000"/>
          <w:sz w:val="32"/>
          <w:szCs w:val="32"/>
        </w:rPr>
        <w:t>日山西省第十</w:t>
      </w:r>
    </w:p>
    <w:p>
      <w:pPr>
        <w:pStyle w:val="Normal"/>
        <w:keepNext w:val="false"/>
        <w:keepLines w:val="false"/>
        <w:pageBreakBefore w:val="false"/>
        <w:widowControl w:val="false"/>
        <w:kinsoku w:val="true"/>
        <w:overflowPunct w:val="true"/>
        <w:autoSpaceDE w:val="true"/>
        <w:bidi w:val="0"/>
        <w:snapToGrid w:val="true"/>
        <w:spacing w:lineRule="exact" w:line="560"/>
        <w:ind w:endChars="0" w:end="0"/>
        <w:jc w:val="start"/>
        <w:textAlignment w:val="auto"/>
        <w:rPr>
          <w:rFonts w:ascii="楷体" w:hAnsi="楷体" w:eastAsia="楷体" w:cs="楷体" w:hint="eastAsia"/>
          <w:b w:val="false"/>
          <w:bCs/>
          <w:color w:val="000000"/>
          <w:sz w:val="32"/>
          <w:szCs w:val="32"/>
          <w:highlight w:val="none"/>
        </w:rPr>
      </w:pPr>
      <w:r>
        <w:rPr>
          <w:rFonts w:ascii="楷体" w:hAnsi="楷体" w:cs="楷体" w:hint="eastAsia" w:eastAsia="楷体"/>
          <w:b w:val="false"/>
          <w:bCs/>
          <w:color w:val="000000"/>
          <w:sz w:val="32"/>
          <w:szCs w:val="32"/>
        </w:rPr>
        <w:t xml:space="preserve">二届人民代表大会常务委员会第三十四次会议批准  </w:t>
      </w:r>
    </w:p>
    <w:p>
      <w:pPr>
        <w:pStyle w:val="Normal"/>
        <w:keepNext w:val="false"/>
        <w:keepLines w:val="false"/>
        <w:pageBreakBefore w:val="false"/>
        <w:widowControl w:val="false"/>
        <w:kinsoku w:val="true"/>
        <w:overflowPunct w:val="true"/>
        <w:autoSpaceDE w:val="true"/>
        <w:bidi w:val="0"/>
        <w:snapToGrid w:val="true"/>
        <w:spacing w:lineRule="exact" w:line="560"/>
        <w:ind w:endChars="0" w:end="0"/>
        <w:jc w:val="start"/>
        <w:textAlignment w:val="auto"/>
        <w:rPr>
          <w:rFonts w:ascii="楷体" w:hAnsi="楷体" w:eastAsia="楷体" w:cs="楷体" w:hint="eastAsia"/>
          <w:b w:val="false"/>
          <w:bCs/>
          <w:color w:val="000000"/>
          <w:sz w:val="32"/>
          <w:szCs w:val="32"/>
          <w:highlight w:val="none"/>
        </w:rPr>
      </w:pPr>
      <w:r>
        <w:rPr>
          <w:rFonts w:eastAsia="楷体" w:cs="楷体" w:hint="eastAsia" w:ascii="楷体" w:hAnsi="楷体"/>
          <w:b w:val="false"/>
          <w:bCs/>
          <w:color w:val="000000"/>
          <w:sz w:val="32"/>
          <w:szCs w:val="32"/>
        </w:rPr>
        <w:t>2022</w:t>
      </w:r>
      <w:r>
        <w:rPr>
          <w:rFonts w:ascii="楷体" w:hAnsi="楷体" w:cs="楷体" w:hint="eastAsia" w:eastAsia="楷体"/>
          <w:b w:val="false"/>
          <w:bCs/>
          <w:color w:val="000000"/>
          <w:sz w:val="32"/>
          <w:szCs w:val="32"/>
        </w:rPr>
        <w:t>年</w:t>
      </w:r>
      <w:r>
        <w:rPr>
          <w:rFonts w:eastAsia="楷体" w:cs="楷体" w:hint="eastAsia" w:ascii="楷体" w:hAnsi="楷体"/>
          <w:b w:val="false"/>
          <w:bCs/>
          <w:color w:val="000000"/>
          <w:sz w:val="32"/>
          <w:szCs w:val="32"/>
        </w:rPr>
        <w:t>10</w:t>
      </w:r>
      <w:r>
        <w:rPr>
          <w:rFonts w:ascii="楷体" w:hAnsi="楷体" w:cs="楷体" w:hint="eastAsia" w:eastAsia="楷体"/>
          <w:b w:val="false"/>
          <w:bCs/>
          <w:color w:val="000000"/>
          <w:sz w:val="32"/>
          <w:szCs w:val="32"/>
        </w:rPr>
        <w:t>月</w:t>
      </w:r>
      <w:r>
        <w:rPr>
          <w:rFonts w:eastAsia="楷体" w:cs="楷体" w:hint="eastAsia" w:ascii="楷体" w:hAnsi="楷体"/>
          <w:b w:val="false"/>
          <w:bCs/>
          <w:color w:val="000000"/>
          <w:sz w:val="32"/>
          <w:szCs w:val="32"/>
        </w:rPr>
        <w:t>26</w:t>
      </w:r>
      <w:r>
        <w:rPr>
          <w:rFonts w:ascii="楷体" w:hAnsi="楷体" w:cs="楷体" w:hint="eastAsia" w:eastAsia="楷体"/>
          <w:b w:val="false"/>
          <w:bCs/>
          <w:color w:val="000000"/>
          <w:sz w:val="32"/>
          <w:szCs w:val="32"/>
        </w:rPr>
        <w:t>日吕梁市第四届人民代表大会常务委员</w:t>
      </w:r>
    </w:p>
    <w:p>
      <w:pPr>
        <w:pStyle w:val="Normal"/>
        <w:keepNext w:val="false"/>
        <w:keepLines w:val="false"/>
        <w:pageBreakBefore w:val="false"/>
        <w:widowControl w:val="false"/>
        <w:kinsoku w:val="true"/>
        <w:overflowPunct w:val="true"/>
        <w:autoSpaceDE w:val="true"/>
        <w:bidi w:val="0"/>
        <w:snapToGrid w:val="true"/>
        <w:spacing w:lineRule="exact" w:line="560"/>
        <w:ind w:endChars="0" w:end="0"/>
        <w:jc w:val="start"/>
        <w:textAlignment w:val="auto"/>
        <w:rPr>
          <w:rFonts w:ascii="楷体" w:hAnsi="楷体" w:eastAsia="楷体" w:cs="楷体" w:hint="eastAsia"/>
          <w:b w:val="false"/>
          <w:bCs/>
          <w:color w:val="000000"/>
          <w:sz w:val="32"/>
          <w:szCs w:val="32"/>
          <w:highlight w:val="none"/>
        </w:rPr>
      </w:pPr>
      <w:r>
        <w:rPr>
          <w:rFonts w:ascii="楷体" w:hAnsi="楷体" w:cs="楷体" w:hint="eastAsia" w:eastAsia="楷体"/>
          <w:b w:val="false"/>
          <w:bCs/>
          <w:color w:val="000000"/>
          <w:sz w:val="32"/>
          <w:szCs w:val="32"/>
        </w:rPr>
        <w:t xml:space="preserve">会第四次会议修订 </w:t>
      </w:r>
      <w:r>
        <w:rPr>
          <w:rFonts w:eastAsia="楷体" w:cs="楷体" w:hint="eastAsia" w:ascii="楷体" w:hAnsi="楷体"/>
          <w:b w:val="false"/>
          <w:bCs/>
          <w:color w:val="000000"/>
          <w:sz w:val="32"/>
          <w:szCs w:val="32"/>
        </w:rPr>
        <w:t>2022</w:t>
      </w:r>
      <w:r>
        <w:rPr>
          <w:rFonts w:ascii="楷体" w:hAnsi="楷体" w:cs="楷体" w:hint="eastAsia" w:eastAsia="楷体"/>
          <w:b w:val="false"/>
          <w:bCs/>
          <w:color w:val="000000"/>
          <w:sz w:val="32"/>
          <w:szCs w:val="32"/>
        </w:rPr>
        <w:t>年</w:t>
      </w:r>
      <w:r>
        <w:rPr>
          <w:rFonts w:eastAsia="楷体" w:cs="楷体" w:hint="eastAsia" w:ascii="楷体" w:hAnsi="楷体"/>
          <w:b w:val="false"/>
          <w:bCs/>
          <w:color w:val="000000"/>
          <w:sz w:val="32"/>
          <w:szCs w:val="32"/>
        </w:rPr>
        <w:t>12</w:t>
      </w:r>
      <w:r>
        <w:rPr>
          <w:rFonts w:ascii="楷体" w:hAnsi="楷体" w:cs="楷体" w:hint="eastAsia" w:eastAsia="楷体"/>
          <w:b w:val="false"/>
          <w:bCs/>
          <w:color w:val="000000"/>
          <w:sz w:val="32"/>
          <w:szCs w:val="32"/>
        </w:rPr>
        <w:t>月</w:t>
      </w:r>
      <w:r>
        <w:rPr>
          <w:rFonts w:eastAsia="楷体" w:cs="楷体" w:hint="eastAsia" w:ascii="楷体" w:hAnsi="楷体"/>
          <w:b w:val="false"/>
          <w:bCs/>
          <w:color w:val="000000"/>
          <w:sz w:val="32"/>
          <w:szCs w:val="32"/>
        </w:rPr>
        <w:t>9</w:t>
      </w:r>
      <w:r>
        <w:rPr>
          <w:rFonts w:ascii="楷体" w:hAnsi="楷体" w:cs="楷体" w:hint="eastAsia" w:eastAsia="楷体"/>
          <w:b w:val="false"/>
          <w:bCs/>
          <w:color w:val="000000"/>
          <w:sz w:val="32"/>
          <w:szCs w:val="32"/>
        </w:rPr>
        <w:t>日山西省第十三届人</w:t>
      </w:r>
    </w:p>
    <w:p>
      <w:pPr>
        <w:pStyle w:val="Normal"/>
        <w:keepNext w:val="false"/>
        <w:keepLines w:val="false"/>
        <w:pageBreakBefore w:val="false"/>
        <w:widowControl w:val="false"/>
        <w:kinsoku w:val="true"/>
        <w:overflowPunct w:val="true"/>
        <w:autoSpaceDE w:val="true"/>
        <w:bidi w:val="0"/>
        <w:snapToGrid w:val="true"/>
        <w:spacing w:lineRule="exact" w:line="560"/>
        <w:ind w:endChars="0" w:end="0"/>
        <w:jc w:val="start"/>
        <w:textAlignment w:val="auto"/>
        <w:rPr/>
      </w:pPr>
      <w:r>
        <w:rPr>
          <w:rFonts w:ascii="楷体" w:hAnsi="楷体" w:cs="楷体" w:hint="eastAsia" w:eastAsia="楷体"/>
          <w:b w:val="false"/>
          <w:bCs/>
          <w:color w:val="000000"/>
          <w:sz w:val="32"/>
          <w:szCs w:val="32"/>
        </w:rPr>
        <w:t>民代表大会常务委员会第三十八次会议批准）</w:t>
      </w:r>
    </w:p>
    <w:p>
      <w:pPr>
        <w:pStyle w:val="Normal"/>
        <w:pageBreakBefore w:val="false"/>
        <w:widowControl w:val="false"/>
        <w:kinsoku w:val="true"/>
        <w:overflowPunct w:val="true"/>
        <w:autoSpaceDE w:val="true"/>
        <w:bidi w:val="0"/>
        <w:spacing w:lineRule="exact" w:line="560"/>
        <w:ind w:endChars="0" w:end="0"/>
        <w:jc w:val="center"/>
        <w:textAlignment w:val="auto"/>
        <w:rPr>
          <w:rFonts w:ascii="黑体" w:hAnsi="黑体" w:eastAsia="黑体" w:cs="黑体"/>
          <w:color w:val="000000"/>
          <w:sz w:val="44"/>
          <w:szCs w:val="44"/>
          <w:highlight w:val="none"/>
        </w:rPr>
      </w:pPr>
      <w:r>
        <w:rPr>
          <w:rFonts w:eastAsia="黑体" w:cs="黑体" w:ascii="黑体" w:hAnsi="黑体"/>
          <w:color w:val="000000"/>
          <w:sz w:val="44"/>
          <w:szCs w:val="44"/>
        </w:rPr>
      </w:r>
    </w:p>
    <w:p>
      <w:pPr>
        <w:pStyle w:val="Normal"/>
        <w:pageBreakBefore w:val="false"/>
        <w:widowControl w:val="false"/>
        <w:kinsoku w:val="true"/>
        <w:overflowPunct w:val="true"/>
        <w:autoSpaceDE w:val="true"/>
        <w:bidi w:val="0"/>
        <w:spacing w:lineRule="exact" w:line="560"/>
        <w:ind w:endChars="0" w:end="0"/>
        <w:jc w:val="center"/>
        <w:textAlignment w:val="auto"/>
        <w:rPr>
          <w:rFonts w:ascii="黑体" w:hAnsi="黑体" w:eastAsia="黑体" w:cs="黑体" w:hint="eastAsia"/>
          <w:color w:val="000000"/>
          <w:szCs w:val="32"/>
          <w:highlight w:val="none"/>
        </w:rPr>
      </w:pPr>
      <w:r>
        <w:rPr>
          <w:rFonts w:ascii="黑体" w:hAnsi="黑体" w:cs="黑体" w:hint="eastAsia" w:eastAsia="黑体"/>
          <w:color w:val="000000"/>
          <w:szCs w:val="32"/>
        </w:rPr>
        <w:t>目   录</w:t>
      </w:r>
    </w:p>
    <w:p>
      <w:pPr>
        <w:pStyle w:val="Heading2"/>
        <w:keepNext w:val="true"/>
        <w:keepLines/>
        <w:pageBreakBefore w:val="false"/>
        <w:widowControl w:val="false"/>
        <w:kinsoku w:val="true"/>
        <w:overflowPunct w:val="true"/>
        <w:autoSpaceDE w:val="true"/>
        <w:bidi w:val="0"/>
        <w:snapToGrid w:val="true"/>
        <w:spacing w:lineRule="exact" w:line="400"/>
        <w:ind w:endChars="0" w:end="0"/>
        <w:textAlignment w:val="auto"/>
        <w:rPr>
          <w:rFonts w:ascii="黑体" w:hAnsi="黑体" w:eastAsia="黑体" w:cs="黑体"/>
          <w:b w:val="false"/>
          <w:bCs w:val="false"/>
          <w:color w:val="000000"/>
          <w:sz w:val="32"/>
          <w:szCs w:val="32"/>
          <w:highlight w:val="none"/>
        </w:rPr>
      </w:pPr>
      <w:r>
        <w:rPr>
          <w:rFonts w:ascii="黑体" w:hAnsi="黑体" w:cs="黑体"/>
          <w:b w:val="false"/>
          <w:bCs w:val="false"/>
          <w:color w:val="000000"/>
          <w:sz w:val="32"/>
          <w:szCs w:val="32"/>
        </w:rPr>
        <w:t xml:space="preserve">第一章  总 </w:t>
      </w:r>
      <w:r>
        <w:rPr>
          <w:rFonts w:ascii="黑体" w:hAnsi="黑体" w:cs="黑体" w:hint="eastAsia"/>
          <w:b w:val="false"/>
          <w:bCs w:val="false"/>
          <w:color w:val="000000"/>
          <w:sz w:val="32"/>
          <w:szCs w:val="32"/>
        </w:rPr>
        <w:t xml:space="preserve">  </w:t>
      </w:r>
      <w:r>
        <w:rPr>
          <w:rFonts w:ascii="黑体" w:hAnsi="黑体" w:cs="黑体"/>
          <w:b w:val="false"/>
          <w:bCs w:val="false"/>
          <w:color w:val="000000"/>
          <w:sz w:val="32"/>
          <w:szCs w:val="32"/>
        </w:rPr>
        <w:t xml:space="preserve"> 则</w:t>
      </w:r>
    </w:p>
    <w:p>
      <w:pPr>
        <w:pStyle w:val="Heading2"/>
        <w:keepNext w:val="true"/>
        <w:keepLines/>
        <w:pageBreakBefore w:val="false"/>
        <w:widowControl w:val="false"/>
        <w:kinsoku w:val="true"/>
        <w:overflowPunct w:val="true"/>
        <w:autoSpaceDE w:val="true"/>
        <w:bidi w:val="0"/>
        <w:snapToGrid w:val="true"/>
        <w:spacing w:lineRule="exact" w:line="400"/>
        <w:ind w:endChars="0" w:end="0"/>
        <w:textAlignment w:val="auto"/>
        <w:rPr>
          <w:rFonts w:ascii="黑体" w:hAnsi="黑体" w:eastAsia="黑体" w:cs="黑体"/>
          <w:b w:val="false"/>
          <w:bCs w:val="false"/>
          <w:color w:val="000000"/>
          <w:sz w:val="32"/>
          <w:szCs w:val="32"/>
          <w:highlight w:val="none"/>
        </w:rPr>
      </w:pPr>
      <w:r>
        <w:rPr>
          <w:rFonts w:ascii="黑体" w:hAnsi="黑体" w:cs="黑体"/>
          <w:b w:val="false"/>
          <w:bCs w:val="false"/>
          <w:color w:val="000000"/>
          <w:sz w:val="32"/>
          <w:szCs w:val="32"/>
        </w:rPr>
        <w:t>第二章  规划与建设</w:t>
      </w:r>
    </w:p>
    <w:p>
      <w:pPr>
        <w:pStyle w:val="Heading2"/>
        <w:keepNext w:val="true"/>
        <w:keepLines/>
        <w:pageBreakBefore w:val="false"/>
        <w:widowControl w:val="false"/>
        <w:kinsoku w:val="true"/>
        <w:overflowPunct w:val="true"/>
        <w:autoSpaceDE w:val="true"/>
        <w:bidi w:val="0"/>
        <w:snapToGrid w:val="true"/>
        <w:spacing w:lineRule="exact" w:line="400"/>
        <w:ind w:endChars="0" w:end="0"/>
        <w:textAlignment w:val="auto"/>
        <w:rPr>
          <w:rFonts w:ascii="黑体" w:hAnsi="黑体" w:eastAsia="黑体" w:cs="黑体"/>
          <w:b w:val="false"/>
          <w:bCs w:val="false"/>
          <w:color w:val="000000"/>
          <w:sz w:val="32"/>
          <w:szCs w:val="32"/>
          <w:highlight w:val="none"/>
        </w:rPr>
      </w:pPr>
      <w:r>
        <w:rPr>
          <w:rFonts w:ascii="黑体" w:hAnsi="黑体" w:cs="黑体"/>
          <w:b w:val="false"/>
          <w:bCs w:val="false"/>
          <w:color w:val="000000"/>
          <w:sz w:val="32"/>
          <w:szCs w:val="32"/>
        </w:rPr>
        <w:t>第三章  保护与管理</w:t>
      </w:r>
    </w:p>
    <w:p>
      <w:pPr>
        <w:pStyle w:val="Heading2"/>
        <w:keepNext w:val="true"/>
        <w:keepLines/>
        <w:pageBreakBefore w:val="false"/>
        <w:widowControl w:val="false"/>
        <w:kinsoku w:val="true"/>
        <w:overflowPunct w:val="true"/>
        <w:autoSpaceDE w:val="true"/>
        <w:bidi w:val="0"/>
        <w:snapToGrid w:val="true"/>
        <w:spacing w:lineRule="exact" w:line="400"/>
        <w:ind w:endChars="0" w:end="0"/>
        <w:textAlignment w:val="auto"/>
        <w:rPr>
          <w:rFonts w:ascii="黑体" w:hAnsi="黑体" w:eastAsia="黑体" w:cs="黑体"/>
          <w:b w:val="false"/>
          <w:bCs w:val="false"/>
          <w:color w:val="000000"/>
          <w:sz w:val="32"/>
          <w:szCs w:val="32"/>
          <w:highlight w:val="none"/>
        </w:rPr>
      </w:pPr>
      <w:r>
        <w:rPr>
          <w:rFonts w:ascii="黑体" w:hAnsi="黑体" w:cs="黑体"/>
          <w:b w:val="false"/>
          <w:bCs w:val="false"/>
          <w:color w:val="000000"/>
          <w:sz w:val="32"/>
          <w:szCs w:val="32"/>
        </w:rPr>
        <w:t>第四章  法律责任</w:t>
      </w:r>
    </w:p>
    <w:p>
      <w:pPr>
        <w:pStyle w:val="Heading2"/>
        <w:keepNext w:val="true"/>
        <w:keepLines/>
        <w:pageBreakBefore w:val="false"/>
        <w:widowControl w:val="false"/>
        <w:kinsoku w:val="true"/>
        <w:overflowPunct w:val="true"/>
        <w:autoSpaceDE w:val="true"/>
        <w:bidi w:val="0"/>
        <w:snapToGrid w:val="true"/>
        <w:spacing w:lineRule="exact" w:line="400"/>
        <w:ind w:endChars="0" w:end="0"/>
        <w:textAlignment w:val="auto"/>
        <w:rPr>
          <w:rFonts w:ascii="黑体" w:hAnsi="黑体" w:eastAsia="黑体" w:cs="黑体"/>
          <w:b w:val="false"/>
          <w:bCs w:val="false"/>
          <w:color w:val="000000"/>
          <w:sz w:val="32"/>
          <w:szCs w:val="32"/>
          <w:highlight w:val="none"/>
        </w:rPr>
      </w:pPr>
      <w:r>
        <w:rPr>
          <w:rFonts w:ascii="黑体" w:hAnsi="黑体" w:cs="黑体"/>
          <w:b w:val="false"/>
          <w:bCs w:val="false"/>
          <w:color w:val="000000"/>
          <w:sz w:val="32"/>
          <w:szCs w:val="32"/>
        </w:rPr>
        <w:t>第五章  附</w:t>
      </w:r>
      <w:r>
        <w:rPr>
          <w:rFonts w:ascii="黑体" w:hAnsi="黑体" w:cs="黑体" w:hint="eastAsia"/>
          <w:b w:val="false"/>
          <w:bCs w:val="false"/>
          <w:color w:val="000000"/>
          <w:sz w:val="32"/>
          <w:szCs w:val="32"/>
        </w:rPr>
        <w:t xml:space="preserve">  </w:t>
      </w:r>
      <w:r>
        <w:rPr>
          <w:rFonts w:ascii="黑体" w:hAnsi="黑体" w:cs="黑体" w:hint="eastAsia"/>
          <w:b w:val="false"/>
          <w:bCs w:val="false"/>
          <w:color w:val="000000"/>
          <w:sz w:val="32"/>
          <w:szCs w:val="32"/>
        </w:rPr>
        <w:t xml:space="preserve"> </w:t>
      </w:r>
      <w:r>
        <w:rPr>
          <w:rFonts w:ascii="黑体" w:hAnsi="黑体" w:cs="黑体"/>
          <w:b w:val="false"/>
          <w:bCs w:val="false"/>
          <w:color w:val="000000"/>
          <w:sz w:val="32"/>
          <w:szCs w:val="32"/>
        </w:rPr>
        <w:t xml:space="preserve"> 则</w:t>
      </w:r>
    </w:p>
    <w:p>
      <w:pPr>
        <w:pStyle w:val="Heading2"/>
        <w:pageBreakBefore w:val="false"/>
        <w:widowControl w:val="false"/>
        <w:kinsoku w:val="true"/>
        <w:overflowPunct w:val="true"/>
        <w:autoSpaceDE w:val="true"/>
        <w:bidi w:val="0"/>
        <w:spacing w:lineRule="exact" w:line="560"/>
        <w:ind w:endChars="0" w:end="0"/>
        <w:jc w:val="center"/>
        <w:textAlignment w:val="auto"/>
        <w:rPr>
          <w:rFonts w:ascii="黑体" w:hAnsi="黑体" w:eastAsia="黑体" w:cs="黑体"/>
          <w:b w:val="false"/>
          <w:bCs w:val="false"/>
          <w:color w:val="000000"/>
          <w:sz w:val="32"/>
          <w:szCs w:val="32"/>
          <w:highlight w:val="none"/>
        </w:rPr>
      </w:pPr>
      <w:r>
        <w:rPr>
          <w:rFonts w:ascii="黑体" w:hAnsi="黑体" w:cs="黑体"/>
          <w:b w:val="false"/>
          <w:bCs w:val="false"/>
          <w:color w:val="000000"/>
          <w:sz w:val="32"/>
          <w:szCs w:val="32"/>
        </w:rPr>
        <w:t xml:space="preserve">第一章  总 </w:t>
      </w:r>
      <w:r>
        <w:rPr>
          <w:rFonts w:ascii="黑体" w:hAnsi="黑体" w:cs="黑体" w:hint="eastAsia"/>
          <w:b w:val="false"/>
          <w:bCs w:val="false"/>
          <w:color w:val="000000"/>
          <w:sz w:val="32"/>
          <w:szCs w:val="32"/>
        </w:rPr>
        <w:t xml:space="preserve">  </w:t>
      </w:r>
      <w:r>
        <w:rPr>
          <w:rFonts w:ascii="黑体" w:hAnsi="黑体" w:cs="黑体"/>
          <w:b w:val="false"/>
          <w:bCs w:val="false"/>
          <w:color w:val="000000"/>
          <w:sz w:val="32"/>
          <w:szCs w:val="32"/>
        </w:rPr>
        <w:t xml:space="preserve"> 则</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第一条</w:t>
      </w:r>
      <w:r>
        <w:rPr>
          <w:rFonts w:hint="eastAsia"/>
          <w:color w:val="000000"/>
        </w:rPr>
        <w:t xml:space="preserve">  为了发展城市绿化事业，保护和改善生态环境，建设生态宜居城市，根据《中华人民共和国城乡规划法》《城市绿化条例》等有关法律、法规规定，结合本市实际，制定本条例。</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第二条</w:t>
      </w:r>
      <w:r>
        <w:rPr>
          <w:rFonts w:hint="eastAsia"/>
          <w:color w:val="000000"/>
        </w:rPr>
        <w:t xml:space="preserve">  本条例适用于市、县（市、 区）人民政府所在地</w:t>
      </w:r>
      <w:r>
        <w:rPr>
          <w:rFonts w:hint="eastAsia"/>
          <w:color w:val="000000"/>
          <w:u w:val="none"/>
        </w:rPr>
        <w:t>城市规划区</w:t>
      </w:r>
      <w:r>
        <w:rPr>
          <w:rFonts w:hint="eastAsia"/>
          <w:color w:val="000000"/>
        </w:rPr>
        <w:t>或者城镇开发边界内绿化的规划、建设、保护和管理。</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法律、法规规定由林草、水利等主管部门负责的绿化工作，依照有关法律、法规规定执行。</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城市古树名木的保护和管理依照《吕梁市古树名木保护条例》等有关法律、法规规定执行。</w:t>
      </w:r>
    </w:p>
    <w:p>
      <w:pPr>
        <w:pStyle w:val="Normal"/>
        <w:pageBreakBefore w:val="false"/>
        <w:widowControl w:val="false"/>
        <w:kinsoku w:val="true"/>
        <w:overflowPunct w:val="true"/>
        <w:autoSpaceDE w:val="true"/>
        <w:bidi w:val="0"/>
        <w:spacing w:lineRule="exact" w:line="560"/>
        <w:ind w:endChars="0" w:end="0"/>
        <w:textAlignment w:val="auto"/>
        <w:rPr>
          <w:strike w:val="false"/>
          <w:dstrike w:val="false"/>
          <w:color w:val="000000"/>
          <w:highlight w:val="none"/>
        </w:rPr>
      </w:pPr>
      <w:r>
        <w:rPr>
          <w:rFonts w:ascii="黑体" w:hAnsi="黑体" w:cs="黑体" w:hint="eastAsia" w:eastAsia="黑体"/>
          <w:strike w:val="false"/>
          <w:dstrike w:val="false"/>
          <w:color w:val="000000"/>
          <w:szCs w:val="32"/>
        </w:rPr>
        <w:t>第三条</w:t>
      </w:r>
      <w:r>
        <w:rPr>
          <w:rFonts w:hint="eastAsia"/>
          <w:strike w:val="false"/>
          <w:dstrike w:val="false"/>
          <w:color w:val="000000"/>
        </w:rPr>
        <w:t xml:space="preserve">  城市绿化应当坚持生态优先、科学规划、政府主导、全民参与、因地制宜、建管并重的原则。</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第四条</w:t>
      </w:r>
      <w:r>
        <w:rPr>
          <w:rFonts w:hint="eastAsia"/>
          <w:color w:val="000000"/>
        </w:rPr>
        <w:t xml:space="preserve">  市、县（市、区）人民政府应当将城市绿化纳入国民经济和社会发展规划、国土空间总体规划，保障城市绿化发展用地，将城市绿化建设和管护经费纳入本级财政预算，推进城市绿化事业可持续发展。</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镇人民政府、街道办事处配合有关部门做好本辖区内的城市绿化管理工作。</w:t>
      </w:r>
    </w:p>
    <w:p>
      <w:pPr>
        <w:pStyle w:val="Normal"/>
        <w:pageBreakBefore w:val="false"/>
        <w:widowControl w:val="false"/>
        <w:kinsoku w:val="true"/>
        <w:overflowPunct w:val="true"/>
        <w:autoSpaceDE w:val="true"/>
        <w:bidi w:val="0"/>
        <w:spacing w:lineRule="exact" w:line="560"/>
        <w:ind w:endChars="0" w:end="0"/>
        <w:textAlignment w:val="auto"/>
        <w:rPr>
          <w:color w:val="000000"/>
        </w:rPr>
      </w:pPr>
      <w:r>
        <w:rPr>
          <w:rFonts w:ascii="黑体" w:hAnsi="黑体" w:cs="黑体" w:hint="eastAsia" w:eastAsia="黑体"/>
          <w:color w:val="000000"/>
          <w:szCs w:val="32"/>
        </w:rPr>
        <w:t>第五条</w:t>
      </w:r>
      <w:r>
        <w:rPr>
          <w:rFonts w:hint="eastAsia"/>
          <w:color w:val="000000"/>
        </w:rPr>
        <w:t>　城市绿化主管部门负责城市绿化的监督管理工作。</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发展和改革、规划和自然资源、住房和城乡建设、行政审批、生态环境、交通运输、财政等部门，按照各自职责，协同做好城市绿化工作。</w:t>
      </w:r>
      <w:r>
        <w:rPr>
          <w:rFonts w:hint="eastAsia"/>
          <w:color w:val="000000"/>
        </w:rPr>
        <w:t>　</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第六条</w:t>
      </w:r>
      <w:r>
        <w:rPr>
          <w:rFonts w:hint="eastAsia"/>
          <w:color w:val="000000"/>
        </w:rPr>
        <w:t xml:space="preserve">  任何单位和个人应当依法履行植树以及其他绿化义务，爱护花草树木和绿化设施，有权制止和举报破坏城市绿化以及绿化设施的行为。</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第七条</w:t>
      </w:r>
      <w:r>
        <w:rPr>
          <w:rFonts w:hint="eastAsia"/>
          <w:color w:val="000000"/>
        </w:rPr>
        <w:t xml:space="preserve">  鼓励单位和个人以认种、认养等多种方式参与绿化建设和管护。</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鼓励公民利用庭院植树种花，垂直绿化，美化环境。</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鼓励和支持绿化科学研究，发展乡土及适生植物，推广生物防治病虫害技术，促进绿化科技成果转化应用。</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市、县（市、区）人民政府应当依照国家、省有关规定对城市绿化中做出显著成绩的单位和个人给予表彰和奖励。</w:t>
      </w:r>
    </w:p>
    <w:p>
      <w:pPr>
        <w:pStyle w:val="Heading2"/>
        <w:pageBreakBefore w:val="false"/>
        <w:widowControl w:val="false"/>
        <w:kinsoku w:val="true"/>
        <w:overflowPunct w:val="true"/>
        <w:autoSpaceDE w:val="true"/>
        <w:bidi w:val="0"/>
        <w:spacing w:lineRule="exact" w:line="560"/>
        <w:ind w:endChars="0" w:end="0"/>
        <w:jc w:val="center"/>
        <w:textAlignment w:val="auto"/>
        <w:rPr>
          <w:rFonts w:ascii="黑体" w:hAnsi="黑体" w:eastAsia="黑体" w:cs="黑体"/>
          <w:b w:val="false"/>
          <w:bCs w:val="false"/>
          <w:color w:val="000000"/>
          <w:sz w:val="32"/>
          <w:szCs w:val="32"/>
          <w:highlight w:val="none"/>
        </w:rPr>
      </w:pPr>
      <w:r>
        <w:rPr>
          <w:rFonts w:ascii="黑体" w:hAnsi="黑体" w:cs="黑体"/>
          <w:b w:val="false"/>
          <w:bCs w:val="false"/>
          <w:color w:val="000000"/>
          <w:sz w:val="32"/>
          <w:szCs w:val="32"/>
        </w:rPr>
        <w:t>第二章  规划与建设</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第八条</w:t>
      </w:r>
      <w:r>
        <w:rPr>
          <w:rFonts w:hint="eastAsia"/>
          <w:color w:val="000000"/>
        </w:rPr>
        <w:t xml:space="preserve">  城市绿化主管部门应当会同规划主管部门组织编制城市绿化规划，报本级人民政府批准后公布实施。</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城市绿化规划应当结合地形地貌，充分尊重自然、人文景观，科学规划城市绿化树种，注重选用乡土植物和其他适宜本区域气候、土壤、环境的植物，突出地方特色。</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城市绿化规划确需调整的，由城市绿化主管部门提出，本级人民政府审查批准。</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 xml:space="preserve">第九条  </w:t>
      </w:r>
      <w:r>
        <w:rPr>
          <w:rFonts w:hint="eastAsia"/>
          <w:color w:val="000000"/>
        </w:rPr>
        <w:t>城市绿化主管部门应当会同规划主管部门根据城市绿化规划划定各类绿地范围的控制线（以下简称城市绿线），并向社会公布。</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规划主管部门应当按照城市绿线管理要求，在控制性详细规划中确定不同类型绿地界线、地块绿地率控制性指标和绿化用地界线的具体坐标。</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城市绿线不得任意调整，因城市建设确需调整的，规划主管部门应当征求城市绿化主管部门的意见，报本级人民政府审查批准。调整绿线不得减少规划绿地总量。</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第十条</w:t>
      </w:r>
      <w:r>
        <w:rPr>
          <w:rFonts w:hint="eastAsia"/>
          <w:color w:val="000000"/>
        </w:rPr>
        <w:t xml:space="preserve">  城市绿化主管部门应当根据城市绿化规划，编制年度绿化建设计划，报本级人民政府批准后实施。</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市、县（市、区）人民政府应当根据年度绿化建设计划，安排相应的土地和资金保障城市绿</w:t>
      </w:r>
      <w:r>
        <w:rPr>
          <w:rFonts w:hint="eastAsia"/>
          <w:strike w:val="false"/>
          <w:dstrike w:val="false"/>
          <w:color w:val="000000"/>
        </w:rPr>
        <w:t>化</w:t>
      </w:r>
      <w:r>
        <w:rPr>
          <w:rFonts w:hint="eastAsia"/>
          <w:color w:val="000000"/>
        </w:rPr>
        <w:t>的建设和管护。</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第十一条</w:t>
      </w:r>
      <w:r>
        <w:rPr>
          <w:rFonts w:hint="eastAsia"/>
          <w:color w:val="000000"/>
        </w:rPr>
        <w:t>　新建、改建、扩建工程项目按照</w:t>
      </w:r>
      <w:bookmarkStart w:id="0" w:name="_Hlk110281487"/>
      <w:r>
        <w:rPr>
          <w:rFonts w:hint="eastAsia"/>
          <w:color w:val="000000"/>
        </w:rPr>
        <w:t>城市绿化规划</w:t>
      </w:r>
      <w:bookmarkEnd w:id="0"/>
      <w:r>
        <w:rPr>
          <w:rFonts w:hint="eastAsia"/>
          <w:color w:val="000000"/>
        </w:rPr>
        <w:t>安排绿化用地。绿化用地标准按照下列规定执行：</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（一）新建居住区绿地率不得低于百分之三十，改建的居住区绿地率不得低于百分之二十五；改建前绿地率超过百分之二十五的，改建时不得低于原有标准；</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（二）新建学校、医院、休（疗）养院（所）、机关、团体、公共文化等单位</w:t>
      </w:r>
      <w:r>
        <w:rPr>
          <w:rFonts w:hint="eastAsia"/>
          <w:strike w:val="false"/>
          <w:dstrike w:val="false"/>
          <w:color w:val="000000"/>
        </w:rPr>
        <w:t>的</w:t>
      </w:r>
      <w:r>
        <w:rPr>
          <w:rFonts w:hint="eastAsia"/>
          <w:color w:val="000000"/>
        </w:rPr>
        <w:t>绿地率不得低于百分之三十五；改建的单位绿地率不低于百分之三十；</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（三）城市道路主干道绿地率不得低于百分之二十，次干道绿地率不得低于百分之十五；</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（四）工业企业、交通枢纽、仓储、商业中心等绿地率不得低于百分之二十；</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（五）产生有害气体及污染物的工厂应根据国家标准设立不少于五十米的防护林带，其绿地率不低于百分之三十；</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（六）公共绿地中绿化用地所占比率，按照有关规定执行；</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（七）加油</w:t>
      </w:r>
      <w:r>
        <w:rPr>
          <w:rFonts w:hint="eastAsia"/>
          <w:strike w:val="false"/>
          <w:dstrike w:val="false"/>
          <w:color w:val="000000"/>
        </w:rPr>
        <w:t>（气）</w:t>
      </w:r>
      <w:r>
        <w:rPr>
          <w:rFonts w:hint="eastAsia"/>
          <w:color w:val="000000"/>
        </w:rPr>
        <w:t>站、民爆物品生产（销售）企业等特殊行业的工程建设项目绿化用地标准按照有关规定执行；</w:t>
      </w:r>
    </w:p>
    <w:p>
      <w:pPr>
        <w:pStyle w:val="Style13"/>
        <w:pageBreakBefore w:val="false"/>
        <w:widowControl w:val="false"/>
        <w:kinsoku w:val="true"/>
        <w:overflowPunct w:val="true"/>
        <w:autoSpaceDE w:val="true"/>
        <w:bidi w:val="0"/>
        <w:spacing w:lineRule="exact" w:line="560"/>
        <w:ind w:firstLineChars="200" w:endChars="0" w:end="0"/>
        <w:textAlignment w:val="auto"/>
        <w:rPr>
          <w:color w:val="000000"/>
          <w:highlight w:val="none"/>
        </w:rPr>
      </w:pPr>
      <w:r>
        <w:rPr>
          <w:rFonts w:hint="eastAsia"/>
          <w:color w:val="000000"/>
        </w:rPr>
        <w:t>（八）其他工程建设项目绿地率不得低于百分之二十。</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属于旧城改造的，前款规定的比率可以降低百分之五。</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改建、扩建单体项目和老旧小区改造的，不得减少该项目原有绿地面积。</w:t>
      </w:r>
    </w:p>
    <w:p>
      <w:pPr>
        <w:pStyle w:val="Normal"/>
        <w:pageBreakBefore w:val="false"/>
        <w:widowControl w:val="false"/>
        <w:kinsoku w:val="true"/>
        <w:overflowPunct w:val="true"/>
        <w:autoSpaceDE w:val="true"/>
        <w:bidi w:val="0"/>
        <w:spacing w:lineRule="exact" w:line="560"/>
        <w:ind w:endChars="0" w:end="0"/>
        <w:textAlignment w:val="auto"/>
        <w:rPr>
          <w:rFonts w:eastAsia="仿宋" w:hint="eastAsia"/>
          <w:color w:val="000000"/>
          <w:highlight w:val="none"/>
        </w:rPr>
      </w:pPr>
      <w:r>
        <w:rPr>
          <w:rFonts w:ascii="黑体" w:hAnsi="黑体" w:cs="黑体" w:hint="eastAsia" w:eastAsia="黑体"/>
          <w:color w:val="000000"/>
          <w:szCs w:val="32"/>
        </w:rPr>
        <w:t>第十二条</w:t>
      </w:r>
      <w:r>
        <w:rPr>
          <w:rFonts w:hint="eastAsia"/>
          <w:color w:val="000000"/>
        </w:rPr>
        <w:t xml:space="preserve">  建设项目附属绿化工程绿化用地面积因客观环境限制达不到绿化用地标准但确需建设的，应当经行政审批主管部门会同规划主管部门和城市绿化主管部门审核，报本级人民政府批准</w:t>
      </w:r>
      <w:r>
        <w:rPr>
          <w:rFonts w:hint="eastAsia"/>
          <w:strike w:val="false"/>
          <w:dstrike w:val="false"/>
          <w:color w:val="000000"/>
        </w:rPr>
        <w:t>。</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建设项目附属绿化工程绿化用地不足部分，建设单位应当在城市绿化主管部门确定的区域进行易地绿化或者缴纳城市绿化补偿费。</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第十三条</w:t>
      </w:r>
      <w:r>
        <w:rPr>
          <w:rFonts w:hint="eastAsia"/>
          <w:color w:val="000000"/>
        </w:rPr>
        <w:t xml:space="preserve">  建设用地的闲置土地和储备土地具备绿化条件的，土地使用权人或者建设单位应当按照城市绿化主管部门的要求，进行临时绿化。</w:t>
      </w:r>
    </w:p>
    <w:p>
      <w:pPr>
        <w:pStyle w:val="Normal"/>
        <w:pageBreakBefore w:val="false"/>
        <w:widowControl w:val="false"/>
        <w:kinsoku w:val="true"/>
        <w:overflowPunct w:val="true"/>
        <w:autoSpaceDE w:val="true"/>
        <w:bidi w:val="0"/>
        <w:spacing w:lineRule="exact" w:line="560"/>
        <w:ind w:endChars="0" w:end="0"/>
        <w:textAlignment w:val="auto"/>
        <w:rPr>
          <w:rFonts w:hint="eastAsia"/>
          <w:color w:val="000000"/>
          <w:highlight w:val="none"/>
        </w:rPr>
      </w:pPr>
      <w:r>
        <w:rPr>
          <w:rFonts w:ascii="Times New Roman" w:hAnsi="Times New Roman" w:cs="Times New Roman"/>
          <w:color w:val="000000"/>
        </w:rPr>
        <w:t>城市零星地、边角地</w:t>
      </w:r>
      <w:r>
        <w:rPr>
          <w:rFonts w:ascii="Times New Roman" w:hAnsi="Times New Roman" w:cs="Times New Roman" w:hint="eastAsia"/>
          <w:color w:val="000000"/>
        </w:rPr>
        <w:t>和</w:t>
      </w:r>
      <w:r>
        <w:rPr>
          <w:rFonts w:hint="eastAsia"/>
          <w:color w:val="000000"/>
        </w:rPr>
        <w:t>城市改造拆迁、违法建筑拆除后腾出的土地应当优先用于绿化建设。</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第十四条</w:t>
      </w:r>
      <w:r>
        <w:rPr>
          <w:rFonts w:hint="eastAsia"/>
          <w:color w:val="000000"/>
        </w:rPr>
        <w:t xml:space="preserve">  建设城市快速路、主次干道时，应当种植行道树。</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已种植的行道树不得随意更换，确需更换的，城市绿化主管部门应当向社会公开征求意见，必要时组织听证。</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 xml:space="preserve">第十五条 </w:t>
      </w:r>
      <w:r>
        <w:rPr>
          <w:rFonts w:hint="eastAsia"/>
          <w:color w:val="000000"/>
        </w:rPr>
        <w:t xml:space="preserve"> 建设项目附属绿化工程应当与主体工程同时规划、设计、施工、验收和交付使用。</w:t>
      </w:r>
    </w:p>
    <w:p>
      <w:pPr>
        <w:pStyle w:val="Normal"/>
        <w:pageBreakBefore w:val="false"/>
        <w:widowControl w:val="false"/>
        <w:kinsoku w:val="true"/>
        <w:overflowPunct w:val="true"/>
        <w:autoSpaceDE w:val="true"/>
        <w:bidi w:val="0"/>
        <w:spacing w:lineRule="exact" w:line="560"/>
        <w:ind w:endChars="0" w:end="0"/>
        <w:textAlignment w:val="auto"/>
        <w:rPr>
          <w:rFonts w:hint="eastAsia"/>
          <w:color w:val="000000"/>
          <w:highlight w:val="none"/>
        </w:rPr>
      </w:pPr>
      <w:r>
        <w:rPr>
          <w:rFonts w:ascii="黑体" w:hAnsi="黑体" w:cs="黑体" w:hint="eastAsia" w:eastAsia="黑体"/>
          <w:color w:val="000000"/>
          <w:szCs w:val="32"/>
        </w:rPr>
        <w:t>第十六条</w:t>
      </w:r>
      <w:r>
        <w:rPr>
          <w:rFonts w:hint="eastAsia"/>
          <w:color w:val="000000"/>
        </w:rPr>
        <w:t xml:space="preserve">  行政审批主管部门在审查城市绿化工程和建设项目附属绿化工程设计方案时，应当通知城市绿化主管部门参加，由城市绿化主管部门出具绿化工程审查意见书。</w:t>
      </w:r>
    </w:p>
    <w:p>
      <w:pPr>
        <w:pStyle w:val="Normal"/>
        <w:pageBreakBefore w:val="false"/>
        <w:widowControl w:val="false"/>
        <w:kinsoku w:val="true"/>
        <w:overflowPunct w:val="true"/>
        <w:autoSpaceDE w:val="true"/>
        <w:bidi w:val="0"/>
        <w:spacing w:lineRule="exact" w:line="560"/>
        <w:ind w:endChars="0" w:end="0"/>
        <w:textAlignment w:val="auto"/>
        <w:rPr>
          <w:rFonts w:eastAsia="仿宋" w:hint="eastAsia"/>
          <w:color w:val="000000"/>
          <w:highlight w:val="none"/>
        </w:rPr>
      </w:pPr>
      <w:r>
        <w:rPr>
          <w:rFonts w:hint="eastAsia"/>
          <w:color w:val="000000"/>
        </w:rPr>
        <w:t>建设单位应当按照</w:t>
      </w:r>
      <w:r>
        <w:rPr>
          <w:rFonts w:hint="eastAsia"/>
          <w:strike w:val="false"/>
          <w:dstrike w:val="false"/>
          <w:color w:val="000000"/>
        </w:rPr>
        <w:t>批准的绿化</w:t>
      </w:r>
      <w:r>
        <w:rPr>
          <w:rFonts w:hint="eastAsia"/>
          <w:color w:val="000000"/>
        </w:rPr>
        <w:t>工程设计方案进行建设。绿化工程设计方案不得随意变更，确需变更的，应当经原审批机关批准。</w:t>
      </w:r>
    </w:p>
    <w:p>
      <w:pPr>
        <w:pStyle w:val="Normal"/>
        <w:keepNext w:val="false"/>
        <w:keepLines w:val="false"/>
        <w:pageBreakBefore w:val="false"/>
        <w:widowControl w:val="false"/>
        <w:kinsoku w:val="true"/>
        <w:overflowPunct w:val="true"/>
        <w:autoSpaceDE w:val="true"/>
        <w:bidi w:val="0"/>
        <w:snapToGrid w:val="true"/>
        <w:spacing w:lineRule="exact" w:line="560"/>
        <w:ind w:endChars="0" w:end="0"/>
        <w:textAlignment w:val="auto"/>
        <w:rPr>
          <w:rFonts w:hint="eastAsia"/>
          <w:color w:val="000000"/>
          <w:highlight w:val="none"/>
        </w:rPr>
      </w:pPr>
      <w:r>
        <w:rPr>
          <w:rFonts w:ascii="黑体" w:hAnsi="黑体" w:cs="黑体" w:hint="eastAsia" w:eastAsia="黑体"/>
          <w:color w:val="000000"/>
          <w:szCs w:val="32"/>
        </w:rPr>
        <w:t xml:space="preserve">第十七条 </w:t>
      </w:r>
      <w:r>
        <w:rPr>
          <w:rFonts w:hint="eastAsia"/>
          <w:color w:val="000000"/>
        </w:rPr>
        <w:t xml:space="preserve"> 城市绿化工程和建设项目附属绿化工程竣工验收时，行政审批主管部门应当通知城市绿化主管部门参加；验收合格后，建设单位应当自验收合格之日起十五日内，将绿化相关资料报送城市绿化主管部门备案。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endChars="0" w:end="0"/>
        <w:textAlignment w:val="auto"/>
        <w:rPr>
          <w:color w:val="FF0000"/>
          <w:highlight w:val="none"/>
        </w:rPr>
      </w:pPr>
      <w:r>
        <w:rPr>
          <w:rFonts w:ascii="仿宋" w:hAnsi="仿宋" w:cs="仿宋" w:hint="eastAsia"/>
          <w:color w:val="000000"/>
          <w:sz w:val="32"/>
          <w:szCs w:val="32"/>
          <w:u w:val="none"/>
        </w:rPr>
        <w:t>竣工验收时，</w:t>
      </w:r>
      <w:r>
        <w:rPr>
          <w:rFonts w:hint="eastAsia"/>
          <w:color w:val="000000"/>
        </w:rPr>
        <w:t>城市绿化工程和建设项目附属绿化工程</w:t>
      </w:r>
      <w:r>
        <w:rPr>
          <w:rFonts w:ascii="仿宋" w:hAnsi="仿宋" w:cs="仿宋" w:hint="eastAsia"/>
          <w:color w:val="000000"/>
          <w:sz w:val="32"/>
          <w:szCs w:val="32"/>
          <w:u w:val="none"/>
        </w:rPr>
        <w:t>不符合</w:t>
      </w:r>
      <w:r>
        <w:rPr>
          <w:rFonts w:ascii="仿宋" w:hAnsi="仿宋" w:cs="仿宋" w:hint="eastAsia"/>
          <w:color w:val="000000"/>
          <w:sz w:val="32"/>
          <w:szCs w:val="32"/>
          <w:u w:val="none"/>
        </w:rPr>
        <w:t>批准的</w:t>
      </w:r>
      <w:r>
        <w:rPr>
          <w:rFonts w:hint="eastAsia"/>
          <w:color w:val="000000"/>
        </w:rPr>
        <w:t>绿化</w:t>
      </w:r>
      <w:r>
        <w:rPr>
          <w:rFonts w:ascii="仿宋" w:hAnsi="仿宋" w:cs="仿宋" w:hint="eastAsia"/>
          <w:color w:val="000000"/>
          <w:sz w:val="32"/>
          <w:szCs w:val="32"/>
          <w:u w:val="none"/>
        </w:rPr>
        <w:t>工程设计方案</w:t>
      </w:r>
      <w:r>
        <w:rPr>
          <w:rFonts w:ascii="仿宋" w:hAnsi="仿宋" w:cs="仿宋" w:hint="eastAsia"/>
          <w:color w:val="000000"/>
          <w:sz w:val="32"/>
          <w:szCs w:val="32"/>
          <w:u w:val="none"/>
        </w:rPr>
        <w:t>的</w:t>
      </w:r>
      <w:r>
        <w:rPr>
          <w:rFonts w:ascii="仿宋" w:hAnsi="仿宋" w:cs="仿宋" w:hint="eastAsia"/>
          <w:color w:val="000000"/>
          <w:sz w:val="32"/>
          <w:szCs w:val="32"/>
          <w:u w:val="none"/>
        </w:rPr>
        <w:t>，审批管理部门不予核发建设工程竣工规划认可证。</w:t>
      </w:r>
    </w:p>
    <w:p>
      <w:pPr>
        <w:pStyle w:val="Normal"/>
        <w:pageBreakBefore w:val="false"/>
        <w:widowControl w:val="false"/>
        <w:numPr>
          <w:ilvl w:val="0"/>
          <w:numId w:val="0"/>
        </w:numPr>
        <w:kinsoku w:val="true"/>
        <w:overflowPunct w:val="true"/>
        <w:autoSpaceDE w:val="true"/>
        <w:bidi w:val="0"/>
        <w:spacing w:lineRule="exact" w:line="560"/>
        <w:ind w:firstLineChars="200" w:startChars="0" w:start="0" w:endChars="0" w:end="0"/>
        <w:textAlignment w:val="auto"/>
        <w:rPr>
          <w:rFonts w:hint="eastAsia"/>
          <w:color w:val="000000"/>
          <w:highlight w:val="none"/>
        </w:rPr>
      </w:pPr>
      <w:r>
        <w:rPr>
          <w:rFonts w:hint="eastAsia"/>
          <w:color w:val="000000"/>
        </w:rPr>
        <w:t>居住区住宅建设工程项目附属绿化工程竣工后，建设单位应当在居住区的显著位置永久公示绿地平面图。</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rPr>
        <w:t>第十八条</w:t>
      </w:r>
      <w:r>
        <w:rPr>
          <w:rFonts w:hint="eastAsia"/>
          <w:color w:val="000000"/>
        </w:rPr>
        <w:t xml:space="preserve">  市城市绿化主管部门应当结合本市地理气候特征，制定立体绿化技术规范，编制技术应用手册。</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机关、事业单位和文化、体育、教育等公共服务设施以及商业、金融等建（构）筑物具备条件的，应当实施立体绿化。</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城市围栏、墙体、高架道路等市政公用设施适宜垂直绿化的，应当实施垂直绿化。</w:t>
      </w:r>
    </w:p>
    <w:p>
      <w:pPr>
        <w:pStyle w:val="Normal"/>
        <w:pageBreakBefore w:val="false"/>
        <w:widowControl w:val="false"/>
        <w:kinsoku w:val="true"/>
        <w:overflowPunct w:val="true"/>
        <w:autoSpaceDE w:val="true"/>
        <w:bidi w:val="0"/>
        <w:spacing w:lineRule="exact" w:line="560"/>
        <w:ind w:endChars="0" w:end="0"/>
        <w:textAlignment w:val="auto"/>
        <w:rPr>
          <w:strike w:val="false"/>
          <w:dstrike w:val="false"/>
          <w:color w:val="000000"/>
          <w:highlight w:val="none"/>
        </w:rPr>
      </w:pPr>
      <w:r>
        <w:rPr>
          <w:rFonts w:hint="eastAsia"/>
          <w:strike w:val="false"/>
          <w:dstrike w:val="false"/>
          <w:color w:val="000000"/>
        </w:rPr>
        <w:t>鼓励老旧小区通过屋顶绿化、垂直绿化等多种形式的立体绿化方式增加绿地面积。</w:t>
      </w:r>
    </w:p>
    <w:p>
      <w:pPr>
        <w:pStyle w:val="Heading2"/>
        <w:pageBreakBefore w:val="false"/>
        <w:widowControl w:val="false"/>
        <w:kinsoku w:val="true"/>
        <w:overflowPunct w:val="true"/>
        <w:autoSpaceDE w:val="true"/>
        <w:bidi w:val="0"/>
        <w:spacing w:lineRule="exact" w:line="560"/>
        <w:ind w:endChars="0" w:end="0"/>
        <w:jc w:val="center"/>
        <w:textAlignment w:val="auto"/>
        <w:rPr>
          <w:rFonts w:ascii="黑体" w:hAnsi="黑体" w:eastAsia="黑体" w:cs="黑体"/>
          <w:b w:val="false"/>
          <w:bCs w:val="false"/>
          <w:color w:val="000000"/>
          <w:sz w:val="32"/>
          <w:szCs w:val="32"/>
          <w:highlight w:val="none"/>
        </w:rPr>
      </w:pPr>
      <w:r>
        <w:rPr>
          <w:rFonts w:ascii="黑体" w:hAnsi="黑体" w:cs="黑体"/>
          <w:b w:val="false"/>
          <w:bCs w:val="false"/>
          <w:color w:val="000000"/>
          <w:sz w:val="32"/>
          <w:szCs w:val="32"/>
        </w:rPr>
        <w:t>第三章  保护与管理</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第十九条</w:t>
      </w:r>
      <w:r>
        <w:rPr>
          <w:rFonts w:hint="eastAsia"/>
          <w:color w:val="000000"/>
        </w:rPr>
        <w:t>　城市绿化主管部门在城市绿化管护中履行下列职责：</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（一）市城市绿化主管部门制定城市绿地养护技术规范；</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（二）监督、指导和检查城市绿化管护工作；</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（三）定期组织开展城市绿化资源调查，建立城市绿化资源档案；</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（四）建立健全植物疫情监测预警防控体系，编制绿化防灾应急预案；</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（五）法律、法规规定的其他职责。　</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第二十条</w:t>
      </w:r>
      <w:r>
        <w:rPr>
          <w:rFonts w:hint="eastAsia"/>
          <w:color w:val="000000"/>
        </w:rPr>
        <w:t>　城市绿化管护责任按照以下规定确定：</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（一）政府投资建设的城市绿地，由城市绿化主管部门和相关部门负责；</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（二）单位附属绿地及其管界内的防护绿地，由该单位负责；</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（三）居住区绿地，实行物业管理的，由物业服务企业按照约定负责；未实行物业管理的，由镇人民政府、街道办事处落实管护主体；</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（四）建设工程范围内保留的绿地，在建设期间由建设单位负责；</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（五）临时绿化的绿地，由土地使用权人或者建设单位负责；</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（六）个人投资的绿地或者公民个人种植的花草树木由所有权人负责。</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前款规定以外的绿化管护责任不清或者有争议的，由所在地城市绿化主管部门确定。</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管护主体发生变更的，应当办理变更移交手续。移交手续办理完毕前，由原管护责任人负责。</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第二十一条</w:t>
      </w:r>
      <w:r>
        <w:rPr>
          <w:rFonts w:hint="eastAsia"/>
          <w:color w:val="000000"/>
        </w:rPr>
        <w:t xml:space="preserve">  城市绿化管护责任人应当建立、健全管护制度，履行下列职责：</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（一）执行绿化养护技术规范并做好记录；</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（二）建立日常巡查制度，对损坏绿化及其设施的行为及时劝阻并报告城市绿化主管部门；</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（三）定期检查树木的生长情况，发现树木死亡的，</w:t>
      </w:r>
      <w:r>
        <w:rPr>
          <w:rFonts w:hint="eastAsia"/>
          <w:strike w:val="false"/>
          <w:dstrike w:val="false"/>
          <w:color w:val="000000"/>
        </w:rPr>
        <w:t>报</w:t>
      </w:r>
      <w:r>
        <w:rPr>
          <w:rFonts w:hint="eastAsia"/>
          <w:color w:val="000000"/>
        </w:rPr>
        <w:t>城市绿化主管部门确认后，及时清理并补植更新；</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（四）及时进行病虫害防治；</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（五）及时修复、更换毁损或者存在安全隐患的绿化设施；</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（六）法律、法规规定的其他管护职责。</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第二十二条</w:t>
      </w:r>
      <w:r>
        <w:rPr>
          <w:rFonts w:hint="eastAsia"/>
          <w:color w:val="000000"/>
        </w:rPr>
        <w:t xml:space="preserve">  任何单位和个人不得擅自占用城市绿化用地。</w:t>
      </w:r>
    </w:p>
    <w:p>
      <w:pPr>
        <w:pStyle w:val="Style13"/>
        <w:pageBreakBefore w:val="false"/>
        <w:widowControl w:val="false"/>
        <w:kinsoku w:val="true"/>
        <w:overflowPunct w:val="true"/>
        <w:autoSpaceDE w:val="true"/>
        <w:bidi w:val="0"/>
        <w:spacing w:lineRule="exact" w:line="560"/>
        <w:ind w:firstLineChars="200" w:endChars="0" w:end="0"/>
        <w:textAlignment w:val="auto"/>
        <w:rPr>
          <w:color w:val="000000"/>
          <w:highlight w:val="none"/>
        </w:rPr>
      </w:pPr>
      <w:r>
        <w:rPr>
          <w:rFonts w:hint="eastAsia"/>
          <w:color w:val="000000"/>
        </w:rPr>
        <w:t>因建设或其他特殊需要，临时占用城市绿地的，应当经行政审批主管部门会同城市绿化主管部门审查后，由行政审批主管部门批准。经批准临时占用绿化用地的，建设单位应当按照规定缴纳城市绿化补偿费。</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占用期满后，应当及时恢复原貌；造成损失的，依法承担赔偿责任。临时占用绿地期限一般不超过一年。确需延长的，应当办理延期手续，延期最长不超过一年。</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第二十三条</w:t>
      </w:r>
      <w:r>
        <w:rPr>
          <w:rFonts w:hint="eastAsia"/>
          <w:color w:val="000000"/>
        </w:rPr>
        <w:t xml:space="preserve">  任何单位和个人不得擅自改变城市绿地性质。</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因城市规划调整或者城市基础设施建设确需改变的，规划主管部门应当在征求城市绿化主管部门意见后，报本级人民政府批准。</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改变城市绿地性质不得减少绿地面积总量。因城市规划调整改变绿地性质的，规划主管部门应当就近规划增补同等面积的绿地。因城市基础设施建设占用绿地的，建设单位应当按照占补平衡的原则，在城市绿化主管部门确定的区域补建同等面积的绿地；不具备补建条件的，建设单位应当缴纳城市绿化补偿费。</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 xml:space="preserve">第二十四条 </w:t>
      </w:r>
      <w:r>
        <w:rPr>
          <w:rFonts w:hint="eastAsia"/>
          <w:color w:val="000000"/>
        </w:rPr>
        <w:t xml:space="preserve"> 任何单位和个人不得擅自移植树木。符合下列情形之一的，可以移植：</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（一）城市建设、绿地更新改造或者公共设施维护等需要的；</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（二）通过修剪无法消除对人身安全、居住安全隐患的；</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（三）通过修剪无法消除对管线、交通设施等公共设施安全隐患的；</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（四）法律、法规规定的其他情形。</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移植树木，申请人应当经树木所有权人同意，制定移植方案，征求城市绿化主管部门意见，报行政审批主管部门审查批准后，按照移植方案和有关技术规范移植树木，并履行三年管护责任。严格限制反季节移植树木。</w:t>
      </w:r>
    </w:p>
    <w:p>
      <w:pPr>
        <w:pStyle w:val="Normal"/>
        <w:pageBreakBefore w:val="false"/>
        <w:widowControl w:val="false"/>
        <w:kinsoku w:val="true"/>
        <w:overflowPunct w:val="true"/>
        <w:autoSpaceDE w:val="true"/>
        <w:bidi w:val="0"/>
        <w:spacing w:lineRule="exact" w:line="560"/>
        <w:ind w:endChars="0" w:end="0"/>
        <w:textAlignment w:val="auto"/>
        <w:rPr>
          <w:rFonts w:eastAsia="仿宋" w:hint="eastAsia"/>
          <w:color w:val="000000"/>
          <w:highlight w:val="none"/>
        </w:rPr>
      </w:pPr>
      <w:r>
        <w:rPr>
          <w:rFonts w:hint="eastAsia"/>
          <w:color w:val="000000"/>
        </w:rPr>
        <w:t>经批准移植的树木死亡的，申请人每移植死亡一株树应当到城市绿化主管部门确定的区域补栽胸径不少于五厘米同树种的树木十株以上或者按照规定缴纳城市绿化补偿费；移植城市大树死亡的，</w:t>
      </w:r>
      <w:r>
        <w:rPr>
          <w:rFonts w:ascii="仿宋" w:hAnsi="仿宋" w:cs="仿宋" w:hint="eastAsia"/>
          <w:color w:val="000000"/>
          <w:sz w:val="32"/>
          <w:szCs w:val="32"/>
        </w:rPr>
        <w:t>每</w:t>
      </w:r>
      <w:r>
        <w:rPr>
          <w:rFonts w:ascii="仿宋" w:hAnsi="仿宋" w:cs="仿宋" w:hint="eastAsia"/>
          <w:color w:val="000000"/>
          <w:sz w:val="32"/>
          <w:szCs w:val="32"/>
        </w:rPr>
        <w:t>移植死亡</w:t>
      </w:r>
      <w:r>
        <w:rPr>
          <w:rFonts w:ascii="仿宋" w:hAnsi="仿宋" w:cs="仿宋" w:hint="eastAsia"/>
          <w:color w:val="000000"/>
          <w:sz w:val="32"/>
          <w:szCs w:val="32"/>
        </w:rPr>
        <w:t>一株</w:t>
      </w:r>
      <w:r>
        <w:rPr>
          <w:rFonts w:ascii="仿宋" w:hAnsi="仿宋" w:cs="仿宋" w:hint="eastAsia"/>
          <w:color w:val="000000"/>
          <w:sz w:val="32"/>
          <w:szCs w:val="32"/>
        </w:rPr>
        <w:t>应当</w:t>
      </w:r>
      <w:r>
        <w:rPr>
          <w:rFonts w:ascii="仿宋" w:hAnsi="仿宋" w:cs="仿宋" w:hint="eastAsia"/>
          <w:color w:val="000000"/>
          <w:sz w:val="32"/>
          <w:szCs w:val="32"/>
        </w:rPr>
        <w:t>到城市园林绿化主管部门</w:t>
      </w:r>
      <w:r>
        <w:rPr>
          <w:rFonts w:hint="eastAsia"/>
          <w:color w:val="000000"/>
        </w:rPr>
        <w:t>确定的区域</w:t>
      </w:r>
      <w:r>
        <w:rPr>
          <w:rFonts w:ascii="仿宋" w:hAnsi="仿宋" w:cs="仿宋" w:hint="eastAsia"/>
          <w:color w:val="000000"/>
          <w:sz w:val="32"/>
          <w:szCs w:val="32"/>
        </w:rPr>
        <w:t>补栽胸径不少于</w:t>
      </w:r>
      <w:r>
        <w:rPr>
          <w:rFonts w:ascii="仿宋" w:hAnsi="仿宋" w:cs="仿宋" w:hint="eastAsia"/>
          <w:color w:val="000000"/>
          <w:sz w:val="32"/>
          <w:szCs w:val="32"/>
        </w:rPr>
        <w:t>十</w:t>
      </w:r>
      <w:r>
        <w:rPr>
          <w:rFonts w:ascii="仿宋" w:hAnsi="仿宋" w:cs="仿宋" w:hint="eastAsia"/>
          <w:color w:val="000000"/>
          <w:sz w:val="32"/>
          <w:szCs w:val="32"/>
        </w:rPr>
        <w:t>厘米的树木</w:t>
      </w:r>
      <w:r>
        <w:rPr>
          <w:rFonts w:ascii="仿宋" w:hAnsi="仿宋" w:cs="仿宋" w:hint="eastAsia"/>
          <w:color w:val="000000"/>
          <w:sz w:val="32"/>
          <w:szCs w:val="32"/>
        </w:rPr>
        <w:t>二十</w:t>
      </w:r>
      <w:r>
        <w:rPr>
          <w:rFonts w:ascii="仿宋" w:hAnsi="仿宋" w:cs="仿宋" w:hint="eastAsia"/>
          <w:color w:val="000000"/>
          <w:sz w:val="32"/>
          <w:szCs w:val="32"/>
        </w:rPr>
        <w:t>株以上或者按照规定缴纳城市绿化补偿费</w:t>
      </w:r>
      <w:r>
        <w:rPr>
          <w:rFonts w:ascii="仿宋" w:hAnsi="仿宋" w:cs="仿宋" w:hint="eastAsia"/>
          <w:color w:val="000000"/>
          <w:sz w:val="32"/>
          <w:szCs w:val="32"/>
        </w:rPr>
        <w:t>。</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第二十五条</w:t>
      </w:r>
      <w:r>
        <w:rPr>
          <w:rFonts w:hint="eastAsia"/>
          <w:color w:val="000000"/>
        </w:rPr>
        <w:t xml:space="preserve">  任何单位和个人不得擅自砍伐树木。符合下列情形之一的，可以砍伐：</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（一）严重影响居住安全，且无移植价值的；</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（二）妨碍交通、对人身安全或者其他设施构成威胁，且无移植价值的；</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（三）发生检疫性病虫害的；</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（四）树龄、树容已达到更新期的；</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（五）因抢险救灾或者处理突发事件确实需要的；</w:t>
      </w:r>
    </w:p>
    <w:p>
      <w:pPr>
        <w:pStyle w:val="Normal"/>
        <w:pageBreakBefore w:val="false"/>
        <w:widowControl w:val="false"/>
        <w:kinsoku w:val="true"/>
        <w:overflowPunct w:val="true"/>
        <w:autoSpaceDE w:val="true"/>
        <w:bidi w:val="0"/>
        <w:spacing w:lineRule="exact" w:line="560"/>
        <w:ind w:endChars="0" w:end="0"/>
        <w:textAlignment w:val="auto"/>
        <w:rPr>
          <w:rFonts w:hint="eastAsia"/>
          <w:color w:val="000000"/>
          <w:highlight w:val="none"/>
        </w:rPr>
      </w:pPr>
      <w:r>
        <w:rPr>
          <w:rFonts w:hint="eastAsia"/>
          <w:color w:val="000000"/>
        </w:rPr>
        <w:t>（六）因树木生长抚育需要，且无移植价值的；</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（七） 因城市建设或者其他原因确需移植，且无移植价值的。</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hint="eastAsia"/>
          <w:color w:val="000000"/>
        </w:rPr>
        <w:t>砍伐树木，申请人应当经树木所有权人同意，制定砍伐方案，征求城市绿化主管部门意见，报行政审批主管部门审查批准。</w:t>
      </w:r>
    </w:p>
    <w:p>
      <w:pPr>
        <w:pStyle w:val="Normal"/>
        <w:pageBreakBefore w:val="false"/>
        <w:widowControl w:val="false"/>
        <w:kinsoku w:val="true"/>
        <w:overflowPunct w:val="true"/>
        <w:autoSpaceDE w:val="true"/>
        <w:bidi w:val="0"/>
        <w:spacing w:lineRule="exact" w:line="560"/>
        <w:ind w:endChars="0" w:end="0"/>
        <w:textAlignment w:val="auto"/>
        <w:rPr>
          <w:rFonts w:hint="eastAsia"/>
          <w:color w:val="FF0000"/>
        </w:rPr>
      </w:pPr>
      <w:r>
        <w:rPr>
          <w:rFonts w:hint="eastAsia"/>
          <w:color w:val="000000"/>
        </w:rPr>
        <w:t>经批准砍伐树木的，申请人每砍伐一株树应当到城市绿化主管部门确定的区域补栽胸径不少于五厘米同树种的树木十株以上或者按照规定缴纳城市绿化补偿费；砍伐城市大树的，</w:t>
      </w:r>
      <w:r>
        <w:rPr>
          <w:rFonts w:ascii="仿宋" w:hAnsi="仿宋" w:cs="仿宋" w:hint="eastAsia"/>
          <w:color w:val="000000"/>
          <w:sz w:val="32"/>
          <w:szCs w:val="32"/>
        </w:rPr>
        <w:t>每砍伐一株</w:t>
      </w:r>
      <w:r>
        <w:rPr>
          <w:rFonts w:ascii="仿宋" w:hAnsi="仿宋" w:cs="仿宋" w:hint="eastAsia"/>
          <w:color w:val="000000"/>
          <w:sz w:val="32"/>
          <w:szCs w:val="32"/>
        </w:rPr>
        <w:t>应当</w:t>
      </w:r>
      <w:r>
        <w:rPr>
          <w:rFonts w:ascii="仿宋" w:hAnsi="仿宋" w:cs="仿宋" w:hint="eastAsia"/>
          <w:color w:val="000000"/>
          <w:sz w:val="32"/>
          <w:szCs w:val="32"/>
        </w:rPr>
        <w:t>到城市园林绿化主管部门</w:t>
      </w:r>
      <w:r>
        <w:rPr>
          <w:rFonts w:hint="eastAsia"/>
          <w:color w:val="000000"/>
        </w:rPr>
        <w:t>确定的区域</w:t>
      </w:r>
      <w:r>
        <w:rPr>
          <w:rFonts w:ascii="仿宋" w:hAnsi="仿宋" w:cs="仿宋" w:hint="eastAsia"/>
          <w:color w:val="000000"/>
          <w:sz w:val="32"/>
          <w:szCs w:val="32"/>
        </w:rPr>
        <w:t>补栽胸径不少于</w:t>
      </w:r>
      <w:r>
        <w:rPr>
          <w:rFonts w:ascii="仿宋" w:hAnsi="仿宋" w:cs="仿宋" w:hint="eastAsia"/>
          <w:color w:val="000000"/>
          <w:sz w:val="32"/>
          <w:szCs w:val="32"/>
        </w:rPr>
        <w:t>十</w:t>
      </w:r>
      <w:r>
        <w:rPr>
          <w:rFonts w:ascii="仿宋" w:hAnsi="仿宋" w:cs="仿宋" w:hint="eastAsia"/>
          <w:color w:val="000000"/>
          <w:sz w:val="32"/>
          <w:szCs w:val="32"/>
        </w:rPr>
        <w:t>厘米的树木</w:t>
      </w:r>
      <w:r>
        <w:rPr>
          <w:rFonts w:ascii="仿宋" w:hAnsi="仿宋" w:cs="仿宋" w:hint="eastAsia"/>
          <w:color w:val="000000"/>
          <w:sz w:val="32"/>
          <w:szCs w:val="32"/>
        </w:rPr>
        <w:t>二十</w:t>
      </w:r>
      <w:r>
        <w:rPr>
          <w:rFonts w:ascii="仿宋" w:hAnsi="仿宋" w:cs="仿宋" w:hint="eastAsia"/>
          <w:color w:val="000000"/>
          <w:sz w:val="32"/>
          <w:szCs w:val="32"/>
        </w:rPr>
        <w:t>株以上或者按照规定缴纳城市绿化补偿费</w:t>
      </w:r>
      <w:r>
        <w:rPr>
          <w:rFonts w:ascii="仿宋" w:hAnsi="仿宋" w:cs="仿宋" w:hint="eastAsia"/>
          <w:color w:val="000000"/>
          <w:sz w:val="32"/>
          <w:szCs w:val="32"/>
        </w:rPr>
        <w:t>。</w:t>
      </w:r>
      <w:r>
        <w:rPr>
          <w:rFonts w:ascii="仿宋" w:hAnsi="仿宋" w:cs="仿宋" w:hint="eastAsia"/>
          <w:color w:val="FF0000"/>
          <w:sz w:val="32"/>
          <w:szCs w:val="32"/>
        </w:rPr>
        <w:t xml:space="preserve"> </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第二十六条</w:t>
      </w:r>
      <w:r>
        <w:rPr>
          <w:rFonts w:hint="eastAsia"/>
          <w:color w:val="000000"/>
        </w:rPr>
        <w:t>　任何单位和个人不得擅自修剪城市道路树木。</w:t>
      </w:r>
    </w:p>
    <w:p>
      <w:pPr>
        <w:pStyle w:val="Normal"/>
        <w:pageBreakBefore w:val="false"/>
        <w:widowControl w:val="false"/>
        <w:kinsoku w:val="true"/>
        <w:overflowPunct w:val="true"/>
        <w:autoSpaceDE w:val="true"/>
        <w:bidi w:val="0"/>
        <w:spacing w:lineRule="exact" w:line="560"/>
        <w:ind w:endChars="0" w:end="0"/>
        <w:textAlignment w:val="auto"/>
        <w:rPr>
          <w:rFonts w:hint="eastAsia"/>
          <w:color w:val="000000"/>
          <w:highlight w:val="none"/>
        </w:rPr>
      </w:pPr>
      <w:r>
        <w:rPr>
          <w:rFonts w:hint="eastAsia"/>
          <w:color w:val="000000"/>
        </w:rPr>
        <w:t>因交通、管线建设等公共安全需要修剪道路树木的，由城市绿化主管部门组织实施。</w:t>
      </w:r>
    </w:p>
    <w:p>
      <w:pPr>
        <w:pStyle w:val="Style13"/>
        <w:pageBreakBefore w:val="false"/>
        <w:widowControl w:val="false"/>
        <w:kinsoku w:val="true"/>
        <w:overflowPunct w:val="true"/>
        <w:autoSpaceDE w:val="true"/>
        <w:bidi w:val="0"/>
        <w:spacing w:lineRule="exact" w:line="560"/>
        <w:ind w:firstLineChars="200" w:endChars="0" w:end="0"/>
        <w:textAlignment w:val="auto"/>
        <w:rPr>
          <w:rFonts w:hint="eastAsia"/>
          <w:color w:val="000000"/>
          <w:highlight w:val="none"/>
        </w:rPr>
      </w:pPr>
      <w:r>
        <w:rPr>
          <w:rFonts w:ascii="黑体" w:hAnsi="黑体" w:cs="黑体" w:hint="eastAsia" w:eastAsia="黑体"/>
          <w:color w:val="000000"/>
          <w:szCs w:val="32"/>
        </w:rPr>
        <w:t xml:space="preserve">第二十七条  </w:t>
      </w:r>
      <w:r>
        <w:rPr>
          <w:rFonts w:hint="eastAsia"/>
          <w:color w:val="000000"/>
        </w:rPr>
        <w:t>因同一个工程项目需砍伐城市大树超过两株，或移植城市大树、实施大修剪超过十株，应当在工程规划设计阶段进行专项论证，采取听证会、公示等形式，就砍伐、移植树木种类和数量、修剪程度等征求公众意见，接受社会监督。</w:t>
      </w:r>
    </w:p>
    <w:p>
      <w:pPr>
        <w:pStyle w:val="Normal"/>
        <w:pageBreakBefore w:val="false"/>
        <w:widowControl w:val="false"/>
        <w:kinsoku w:val="true"/>
        <w:overflowPunct w:val="true"/>
        <w:autoSpaceDE w:val="true"/>
        <w:bidi w:val="0"/>
        <w:spacing w:lineRule="exact" w:line="560"/>
        <w:textAlignment w:val="auto"/>
        <w:rPr>
          <w:color w:val="000000"/>
          <w:highlight w:val="none"/>
        </w:rPr>
      </w:pPr>
      <w:r>
        <w:rPr>
          <w:rFonts w:ascii="黑体" w:hAnsi="黑体" w:cs="黑体" w:hint="eastAsia" w:eastAsia="黑体"/>
          <w:color w:val="000000"/>
          <w:szCs w:val="32"/>
        </w:rPr>
        <w:t>第二十八条</w:t>
      </w:r>
      <w:r>
        <w:rPr>
          <w:rFonts w:hint="eastAsia"/>
          <w:color w:val="000000"/>
        </w:rPr>
        <w:t xml:space="preserve">  禁止下列损害城市绿化及其设施的行为：</w:t>
      </w:r>
    </w:p>
    <w:p>
      <w:pPr>
        <w:pStyle w:val="Normal"/>
        <w:pageBreakBefore w:val="false"/>
        <w:widowControl w:val="false"/>
        <w:kinsoku w:val="true"/>
        <w:overflowPunct w:val="true"/>
        <w:autoSpaceDE w:val="true"/>
        <w:bidi w:val="0"/>
        <w:spacing w:lineRule="exact" w:line="560"/>
        <w:ind w:endChars="0" w:end="0"/>
        <w:textAlignment w:val="auto"/>
        <w:rPr>
          <w:rFonts w:ascii="仿宋" w:hAnsi="仿宋" w:cs="仿宋"/>
          <w:color w:val="000000"/>
          <w:szCs w:val="32"/>
          <w:highlight w:val="none"/>
        </w:rPr>
      </w:pPr>
      <w:r>
        <w:rPr>
          <w:rFonts w:ascii="仿宋" w:hAnsi="仿宋" w:cs="仿宋" w:hint="eastAsia"/>
          <w:color w:val="000000"/>
          <w:szCs w:val="32"/>
        </w:rPr>
        <w:t>（一）损坏花坛、绿篱、草坪，攀折树木，剥刮树皮；</w:t>
      </w:r>
    </w:p>
    <w:p>
      <w:pPr>
        <w:pStyle w:val="Normal"/>
        <w:pageBreakBefore w:val="false"/>
        <w:widowControl w:val="false"/>
        <w:kinsoku w:val="true"/>
        <w:overflowPunct w:val="true"/>
        <w:autoSpaceDE w:val="true"/>
        <w:bidi w:val="0"/>
        <w:spacing w:lineRule="exact" w:line="560"/>
        <w:ind w:endChars="0" w:end="0"/>
        <w:textAlignment w:val="auto"/>
        <w:rPr>
          <w:rFonts w:ascii="仿宋" w:hAnsi="仿宋" w:cs="仿宋"/>
          <w:color w:val="000000"/>
          <w:szCs w:val="32"/>
          <w:highlight w:val="none"/>
        </w:rPr>
      </w:pPr>
      <w:r>
        <w:rPr>
          <w:rFonts w:ascii="仿宋" w:hAnsi="仿宋" w:cs="仿宋" w:hint="eastAsia"/>
          <w:color w:val="000000"/>
          <w:szCs w:val="32"/>
        </w:rPr>
        <w:t>（二）在树上牵绳挂物、架设电线、悬挂广告、刻划钉钉；</w:t>
      </w:r>
    </w:p>
    <w:p>
      <w:pPr>
        <w:pStyle w:val="Normal"/>
        <w:pageBreakBefore w:val="false"/>
        <w:widowControl w:val="false"/>
        <w:kinsoku w:val="true"/>
        <w:overflowPunct w:val="true"/>
        <w:autoSpaceDE w:val="true"/>
        <w:bidi w:val="0"/>
        <w:spacing w:lineRule="exact" w:line="560"/>
        <w:ind w:endChars="0" w:end="0"/>
        <w:textAlignment w:val="auto"/>
        <w:rPr>
          <w:rFonts w:ascii="仿宋" w:hAnsi="仿宋" w:cs="仿宋"/>
          <w:color w:val="000000"/>
          <w:szCs w:val="32"/>
          <w:highlight w:val="none"/>
        </w:rPr>
      </w:pPr>
      <w:r>
        <w:rPr>
          <w:rFonts w:ascii="仿宋" w:hAnsi="仿宋" w:cs="仿宋" w:hint="eastAsia"/>
          <w:color w:val="000000"/>
          <w:szCs w:val="32"/>
        </w:rPr>
        <w:t>（三）在绿地内移动座椅、果皮箱、损毁栏杆，攀登建筑和雕塑；</w:t>
      </w:r>
    </w:p>
    <w:p>
      <w:pPr>
        <w:pStyle w:val="Normal"/>
        <w:pageBreakBefore w:val="false"/>
        <w:widowControl w:val="false"/>
        <w:kinsoku w:val="true"/>
        <w:overflowPunct w:val="true"/>
        <w:autoSpaceDE w:val="true"/>
        <w:bidi w:val="0"/>
        <w:spacing w:lineRule="exact" w:line="560"/>
        <w:ind w:endChars="0" w:end="0"/>
        <w:textAlignment w:val="auto"/>
        <w:rPr>
          <w:rFonts w:ascii="仿宋" w:hAnsi="仿宋" w:cs="仿宋"/>
          <w:color w:val="000000"/>
          <w:szCs w:val="32"/>
          <w:highlight w:val="none"/>
        </w:rPr>
      </w:pPr>
      <w:r>
        <w:rPr>
          <w:rFonts w:ascii="仿宋" w:hAnsi="仿宋" w:cs="仿宋" w:hint="eastAsia"/>
          <w:color w:val="000000"/>
          <w:szCs w:val="32"/>
        </w:rPr>
        <w:t>（四）在绿地内堆放物料、挖坑取土、开垦种植、倾倒垃圾渣土、燃烧物品、排放污水、放牧捕猎；</w:t>
      </w:r>
    </w:p>
    <w:p>
      <w:pPr>
        <w:pStyle w:val="Normal"/>
        <w:pageBreakBefore w:val="false"/>
        <w:widowControl w:val="false"/>
        <w:kinsoku w:val="true"/>
        <w:overflowPunct w:val="true"/>
        <w:autoSpaceDE w:val="true"/>
        <w:bidi w:val="0"/>
        <w:spacing w:lineRule="exact" w:line="560"/>
        <w:ind w:endChars="0" w:end="0"/>
        <w:textAlignment w:val="auto"/>
        <w:rPr>
          <w:rFonts w:ascii="仿宋" w:hAnsi="仿宋" w:cs="仿宋"/>
          <w:color w:val="000000"/>
          <w:szCs w:val="32"/>
          <w:highlight w:val="none"/>
        </w:rPr>
      </w:pPr>
      <w:r>
        <w:rPr>
          <w:rFonts w:ascii="仿宋" w:hAnsi="仿宋" w:cs="仿宋" w:hint="eastAsia"/>
          <w:color w:val="000000"/>
          <w:szCs w:val="32"/>
        </w:rPr>
        <w:t>（五）在绿地停车设施外停放车辆；</w:t>
      </w:r>
    </w:p>
    <w:p>
      <w:pPr>
        <w:pStyle w:val="Normal"/>
        <w:pageBreakBefore w:val="false"/>
        <w:widowControl w:val="false"/>
        <w:numPr>
          <w:ilvl w:val="0"/>
          <w:numId w:val="2"/>
        </w:numPr>
        <w:kinsoku w:val="true"/>
        <w:overflowPunct w:val="true"/>
        <w:autoSpaceDE w:val="true"/>
        <w:bidi w:val="0"/>
        <w:spacing w:lineRule="exact" w:line="560"/>
        <w:ind w:firstLineChars="0" w:firstLine="0" w:startChars="0" w:start="0" w:endChars="0" w:end="0"/>
        <w:textAlignment w:val="auto"/>
        <w:rPr>
          <w:rFonts w:ascii="仿宋" w:hAnsi="仿宋" w:cs="仿宋" w:hint="eastAsia"/>
          <w:color w:val="000000"/>
          <w:szCs w:val="32"/>
          <w:highlight w:val="none"/>
        </w:rPr>
      </w:pPr>
      <w:r>
        <w:rPr>
          <w:rFonts w:ascii="仿宋" w:hAnsi="仿宋" w:cs="仿宋" w:hint="eastAsia"/>
          <w:color w:val="000000"/>
          <w:szCs w:val="32"/>
        </w:rPr>
        <w:t>在绿地内擅自搭建建筑物、构筑物和其他设施；</w:t>
      </w:r>
    </w:p>
    <w:p>
      <w:pPr>
        <w:pStyle w:val="Style13"/>
        <w:pageBreakBefore w:val="false"/>
        <w:widowControl w:val="false"/>
        <w:numPr>
          <w:ilvl w:val="0"/>
          <w:numId w:val="0"/>
        </w:numPr>
        <w:kinsoku w:val="true"/>
        <w:overflowPunct w:val="true"/>
        <w:autoSpaceDE w:val="true"/>
        <w:bidi w:val="0"/>
        <w:spacing w:lineRule="exact" w:line="560"/>
        <w:ind w:firstLineChars="200" w:startChars="0" w:start="0" w:endChars="0" w:end="0"/>
        <w:textAlignment w:val="auto"/>
        <w:rPr>
          <w:color w:val="000000"/>
          <w:highlight w:val="none"/>
        </w:rPr>
      </w:pPr>
      <w:r>
        <w:rPr>
          <w:rFonts w:ascii="仿宋" w:hAnsi="仿宋" w:cs="仿宋" w:hint="eastAsia"/>
          <w:color w:val="000000"/>
          <w:szCs w:val="32"/>
        </w:rPr>
        <w:t>（七）在绿地内未按</w:t>
      </w:r>
      <w:r>
        <w:rPr>
          <w:rFonts w:hint="eastAsia"/>
          <w:color w:val="000000"/>
        </w:rPr>
        <w:t>指定地点</w:t>
      </w:r>
      <w:r>
        <w:rPr>
          <w:rFonts w:ascii="仿宋" w:hAnsi="仿宋" w:cs="仿宋" w:hint="eastAsia"/>
          <w:color w:val="000000"/>
          <w:szCs w:val="32"/>
        </w:rPr>
        <w:t>摆摊设点；</w:t>
      </w:r>
    </w:p>
    <w:p>
      <w:pPr>
        <w:pStyle w:val="Normal"/>
        <w:pageBreakBefore w:val="false"/>
        <w:widowControl w:val="false"/>
        <w:kinsoku w:val="true"/>
        <w:overflowPunct w:val="true"/>
        <w:autoSpaceDE w:val="true"/>
        <w:bidi w:val="0"/>
        <w:spacing w:lineRule="exact" w:line="560"/>
        <w:ind w:endChars="0" w:end="0"/>
        <w:textAlignment w:val="auto"/>
        <w:rPr>
          <w:rFonts w:ascii="仿宋" w:hAnsi="仿宋" w:cs="仿宋"/>
          <w:color w:val="000000"/>
          <w:szCs w:val="32"/>
          <w:highlight w:val="none"/>
        </w:rPr>
      </w:pPr>
      <w:r>
        <w:rPr>
          <w:rFonts w:ascii="仿宋" w:hAnsi="仿宋" w:cs="仿宋" w:hint="eastAsia"/>
          <w:color w:val="000000"/>
          <w:szCs w:val="32"/>
        </w:rPr>
        <w:t>（八）其他破坏城市绿化及其绿化设施的行为。</w:t>
      </w:r>
    </w:p>
    <w:p>
      <w:pPr>
        <w:pStyle w:val="Normal"/>
        <w:pageBreakBefore w:val="false"/>
        <w:widowControl w:val="false"/>
        <w:kinsoku w:val="true"/>
        <w:overflowPunct w:val="true"/>
        <w:autoSpaceDE w:val="true"/>
        <w:bidi w:val="0"/>
        <w:spacing w:lineRule="exact" w:line="560"/>
        <w:ind w:endChars="0" w:end="0"/>
        <w:textAlignment w:val="auto"/>
        <w:rPr>
          <w:rFonts w:hint="eastAsia"/>
          <w:color w:val="000000"/>
          <w:highlight w:val="none"/>
        </w:rPr>
      </w:pPr>
      <w:r>
        <w:rPr>
          <w:rFonts w:ascii="黑体" w:hAnsi="黑体" w:cs="黑体" w:hint="eastAsia" w:eastAsia="黑体"/>
          <w:color w:val="000000"/>
          <w:szCs w:val="32"/>
        </w:rPr>
        <w:t xml:space="preserve">第二十九条  </w:t>
      </w:r>
      <w:r>
        <w:rPr>
          <w:rFonts w:hint="eastAsia"/>
          <w:color w:val="000000"/>
        </w:rPr>
        <w:t>因交通事故损坏城市绿化及设施的，公安机关交通管理部门应当及时通知城市绿化主管部门处理，造成的损失由事故责任人赔偿。</w:t>
      </w:r>
    </w:p>
    <w:p>
      <w:pPr>
        <w:pStyle w:val="Heading2"/>
        <w:pageBreakBefore w:val="false"/>
        <w:widowControl w:val="false"/>
        <w:kinsoku w:val="true"/>
        <w:overflowPunct w:val="true"/>
        <w:autoSpaceDE w:val="true"/>
        <w:bidi w:val="0"/>
        <w:spacing w:lineRule="exact" w:line="560"/>
        <w:ind w:endChars="0" w:end="0"/>
        <w:jc w:val="center"/>
        <w:textAlignment w:val="auto"/>
        <w:rPr>
          <w:rFonts w:eastAsia="黑体" w:hint="eastAsia"/>
          <w:color w:val="000000"/>
          <w:highlight w:val="none"/>
        </w:rPr>
      </w:pPr>
      <w:r>
        <w:rPr>
          <w:rFonts w:ascii="黑体" w:hAnsi="黑体" w:cs="黑体"/>
          <w:b w:val="false"/>
          <w:bCs w:val="false"/>
          <w:color w:val="000000"/>
          <w:sz w:val="32"/>
          <w:szCs w:val="32"/>
        </w:rPr>
        <w:t>第四章  法律责任</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第三十条</w:t>
      </w:r>
      <w:r>
        <w:rPr>
          <w:rFonts w:hint="eastAsia"/>
          <w:color w:val="000000"/>
        </w:rPr>
        <w:t xml:space="preserve">  违反本条例规定，法律、行政法规以及省人民代表大会及其常务委员会制定的地方性法规有法律责任规定的，从其规定。</w:t>
      </w:r>
    </w:p>
    <w:p>
      <w:pPr>
        <w:pStyle w:val="Style13"/>
        <w:pageBreakBefore w:val="false"/>
        <w:widowControl w:val="false"/>
        <w:kinsoku w:val="true"/>
        <w:overflowPunct w:val="true"/>
        <w:autoSpaceDE w:val="true"/>
        <w:bidi w:val="0"/>
        <w:spacing w:lineRule="exact" w:line="560"/>
        <w:ind w:firstLineChars="200" w:endChars="0" w:end="0"/>
        <w:textAlignment w:val="auto"/>
        <w:rPr>
          <w:rStyle w:val="Style12"/>
          <w:color w:val="000000"/>
          <w:sz w:val="32"/>
          <w:szCs w:val="32"/>
          <w:highlight w:val="none"/>
        </w:rPr>
      </w:pPr>
      <w:r>
        <w:rPr>
          <w:rFonts w:ascii="黑体" w:hAnsi="黑体" w:cs="黑体" w:hint="eastAsia" w:eastAsia="黑体"/>
          <w:color w:val="000000"/>
          <w:szCs w:val="32"/>
        </w:rPr>
        <w:t>第三十一条</w:t>
      </w:r>
      <w:r>
        <w:rPr>
          <w:rFonts w:ascii="黑体" w:hAnsi="黑体" w:cs="黑体" w:hint="eastAsia" w:eastAsia="黑体"/>
          <w:szCs w:val="32"/>
        </w:rPr>
        <w:t xml:space="preserve"> </w:t>
      </w:r>
      <w:r>
        <w:rPr>
          <w:rFonts w:ascii="黑体" w:hAnsi="黑体" w:cs="黑体" w:hint="eastAsia" w:eastAsia="黑体"/>
          <w:color w:val="000000"/>
          <w:szCs w:val="32"/>
        </w:rPr>
        <w:t xml:space="preserve">  </w:t>
      </w:r>
      <w:r>
        <w:rPr>
          <w:rStyle w:val="Style12"/>
          <w:rFonts w:hint="eastAsia"/>
          <w:color w:val="000000"/>
          <w:sz w:val="32"/>
          <w:szCs w:val="32"/>
        </w:rPr>
        <w:t>违反本条例规定，建设单位未按照</w:t>
      </w:r>
      <w:r>
        <w:rPr>
          <w:rStyle w:val="Style12"/>
          <w:rFonts w:hint="eastAsia"/>
          <w:strike w:val="false"/>
          <w:dstrike w:val="false"/>
          <w:color w:val="000000"/>
          <w:sz w:val="32"/>
          <w:szCs w:val="32"/>
        </w:rPr>
        <w:t>批准的绿化工程设计方案</w:t>
      </w:r>
      <w:r>
        <w:rPr>
          <w:rStyle w:val="Style12"/>
          <w:rFonts w:hint="eastAsia"/>
          <w:color w:val="000000"/>
          <w:sz w:val="32"/>
          <w:szCs w:val="32"/>
        </w:rPr>
        <w:t>进行建设的，由规划和自然资源管理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第三十二条</w:t>
      </w:r>
      <w:r>
        <w:rPr>
          <w:rFonts w:hint="eastAsia"/>
        </w:rPr>
        <w:t xml:space="preserve"> </w:t>
      </w:r>
      <w:r>
        <w:rPr>
          <w:rFonts w:hint="eastAsia"/>
          <w:color w:val="000000"/>
        </w:rPr>
        <w:t xml:space="preserve"> 违反本条例规定，擅自占用城市绿化用地或者改变绿地使用性质的，由城市绿化主管部门责令限期退还、恢复原状，可以并处一万元以上三万元以下罚款；造成损失的，应当承担赔偿责任。</w:t>
      </w:r>
    </w:p>
    <w:p>
      <w:pPr>
        <w:pStyle w:val="Normal"/>
        <w:keepNext w:val="false"/>
        <w:keepLines w:val="false"/>
        <w:pageBreakBefore w:val="false"/>
        <w:widowControl w:val="false"/>
        <w:kinsoku w:val="true"/>
        <w:overflowPunct w:val="true"/>
        <w:autoSpaceDE w:val="true"/>
        <w:bidi w:val="0"/>
        <w:snapToGrid w:val="true"/>
        <w:spacing w:lineRule="exact" w:line="560"/>
        <w:ind w:endChars="0" w:end="0"/>
        <w:textAlignment w:val="auto"/>
        <w:rPr>
          <w:rFonts w:hint="eastAsia"/>
          <w:color w:val="000000"/>
          <w:highlight w:val="none"/>
        </w:rPr>
      </w:pPr>
      <w:r>
        <w:rPr>
          <w:rFonts w:ascii="黑体" w:hAnsi="黑体" w:cs="黑体" w:hint="eastAsia" w:eastAsia="黑体"/>
          <w:color w:val="000000"/>
          <w:szCs w:val="32"/>
        </w:rPr>
        <w:t>第三十三条</w:t>
      </w:r>
      <w:r>
        <w:rPr>
          <w:rFonts w:hint="eastAsia"/>
          <w:color w:val="000000"/>
        </w:rPr>
        <w:t xml:space="preserve">  违反本条例规定，擅自砍伐、移植树木的，修剪城市道路树木的，由城市绿化主管部门责令停止侵害，并处每株一千元以上三千元以下罚款；造成损失的，应当承担赔偿责任；应当给予治安管理处罚的，依照《中华人民共和国治安管理处罚法》的有关规定处罚；构成犯罪的，依法追究刑事责任。</w:t>
      </w:r>
    </w:p>
    <w:p>
      <w:pPr>
        <w:pStyle w:val="Style13"/>
        <w:keepNext w:val="false"/>
        <w:keepLines w:val="false"/>
        <w:pageBreakBefore w:val="false"/>
        <w:widowControl w:val="false"/>
        <w:kinsoku w:val="true"/>
        <w:overflowPunct w:val="true"/>
        <w:autoSpaceDE w:val="true"/>
        <w:bidi w:val="0"/>
        <w:snapToGrid w:val="true"/>
        <w:spacing w:lineRule="exact" w:line="560"/>
        <w:ind w:firstLineChars="200" w:endChars="0" w:end="0"/>
        <w:textAlignment w:val="auto"/>
        <w:rPr>
          <w:rFonts w:eastAsia="仿宋"/>
          <w:color w:val="000000"/>
        </w:rPr>
      </w:pPr>
      <w:r>
        <w:rPr>
          <w:rFonts w:hint="eastAsia"/>
          <w:color w:val="000000"/>
        </w:rPr>
        <w:t>违反本条例规定，擅自砍伐、移植城市大树的，按照前款规定从重处罚。</w:t>
      </w:r>
    </w:p>
    <w:p>
      <w:pPr>
        <w:pStyle w:val="Normal"/>
        <w:pageBreakBefore w:val="false"/>
        <w:widowControl w:val="false"/>
        <w:kinsoku w:val="true"/>
        <w:overflowPunct w:val="true"/>
        <w:autoSpaceDE w:val="true"/>
        <w:bidi w:val="0"/>
        <w:snapToGrid w:val="false"/>
        <w:spacing w:lineRule="exact" w:line="560"/>
        <w:ind w:endChars="0" w:end="0"/>
        <w:textAlignment w:val="auto"/>
        <w:rPr>
          <w:rFonts w:hint="eastAsia"/>
          <w:strike w:val="false"/>
          <w:dstrike w:val="false"/>
          <w:color w:val="000000"/>
          <w:highlight w:val="none"/>
        </w:rPr>
      </w:pPr>
      <w:r>
        <w:rPr>
          <w:rFonts w:ascii="黑体" w:hAnsi="黑体" w:cs="黑体" w:hint="eastAsia" w:eastAsia="黑体"/>
          <w:strike w:val="false"/>
          <w:dstrike w:val="false"/>
          <w:color w:val="000000"/>
          <w:szCs w:val="32"/>
        </w:rPr>
        <w:t>第三十四条</w:t>
      </w:r>
      <w:r>
        <w:rPr>
          <w:rFonts w:hint="eastAsia"/>
          <w:strike w:val="false"/>
          <w:dstrike w:val="false"/>
          <w:color w:val="000000"/>
        </w:rPr>
        <w:t xml:space="preserve">  </w:t>
      </w:r>
      <w:r>
        <w:rPr>
          <w:rFonts w:ascii="CESI仿宋-GB13000;仿宋" w:hAnsi="CESI仿宋-GB13000;仿宋" w:cs="CESI仿宋-GB13000;仿宋" w:hint="eastAsia" w:eastAsia="CESI仿宋-GB13000;仿宋"/>
          <w:i w:val="false"/>
          <w:caps w:val="false"/>
          <w:smallCaps w:val="false"/>
          <w:color w:val="000000"/>
          <w:spacing w:val="0"/>
          <w:kern w:val="0"/>
          <w:sz w:val="32"/>
          <w:szCs w:val="32"/>
          <w:shd w:fill="FFFFFF" w:val="clear"/>
          <w:lang w:bidi="ar"/>
        </w:rPr>
        <w:t>违反本条例规定，有下列行为之一的，由城市绿化主管部门责令停止侵害，可以并处罚款</w:t>
      </w:r>
      <w:r>
        <w:rPr>
          <w:rFonts w:eastAsia="CESI仿宋-GB13000;仿宋" w:cs="CESI仿宋-GB13000;仿宋" w:hint="eastAsia" w:ascii="CESI仿宋-GB13000;仿宋" w:hAnsi="CESI仿宋-GB13000;仿宋"/>
          <w:i w:val="false"/>
          <w:caps w:val="false"/>
          <w:smallCaps w:val="false"/>
          <w:color w:val="000000"/>
          <w:spacing w:val="0"/>
          <w:kern w:val="0"/>
          <w:sz w:val="32"/>
          <w:szCs w:val="32"/>
          <w:shd w:fill="FFFFFF" w:val="clear"/>
          <w:lang w:bidi="ar"/>
        </w:rPr>
        <w:t>;</w:t>
      </w:r>
      <w:r>
        <w:rPr>
          <w:rFonts w:ascii="CESI仿宋-GB13000;仿宋" w:hAnsi="CESI仿宋-GB13000;仿宋" w:cs="CESI仿宋-GB13000;仿宋" w:hint="eastAsia" w:eastAsia="CESI仿宋-GB13000;仿宋"/>
          <w:i w:val="false"/>
          <w:caps w:val="false"/>
          <w:smallCaps w:val="false"/>
          <w:color w:val="000000"/>
          <w:spacing w:val="0"/>
          <w:kern w:val="0"/>
          <w:sz w:val="32"/>
          <w:szCs w:val="32"/>
          <w:shd w:fill="FFFFFF" w:val="clear"/>
          <w:lang w:bidi="ar"/>
        </w:rPr>
        <w:t>造成损失的，应当负赔偿责任</w:t>
      </w:r>
      <w:r>
        <w:rPr>
          <w:rFonts w:eastAsia="CESI仿宋-GB13000;仿宋" w:cs="CESI仿宋-GB13000;仿宋" w:hint="eastAsia" w:ascii="CESI仿宋-GB13000;仿宋" w:hAnsi="CESI仿宋-GB13000;仿宋"/>
          <w:i w:val="false"/>
          <w:caps w:val="false"/>
          <w:smallCaps w:val="false"/>
          <w:color w:val="000000"/>
          <w:spacing w:val="0"/>
          <w:kern w:val="0"/>
          <w:sz w:val="32"/>
          <w:szCs w:val="32"/>
          <w:shd w:fill="FFFFFF" w:val="clear"/>
          <w:lang w:bidi="ar"/>
        </w:rPr>
        <w:t>;</w:t>
      </w:r>
      <w:r>
        <w:rPr>
          <w:rFonts w:ascii="CESI仿宋-GB13000;仿宋" w:hAnsi="CESI仿宋-GB13000;仿宋" w:cs="CESI仿宋-GB13000;仿宋" w:hint="eastAsia" w:eastAsia="CESI仿宋-GB13000;仿宋"/>
          <w:i w:val="false"/>
          <w:caps w:val="false"/>
          <w:smallCaps w:val="false"/>
          <w:color w:val="000000"/>
          <w:spacing w:val="0"/>
          <w:kern w:val="0"/>
          <w:sz w:val="32"/>
          <w:szCs w:val="32"/>
          <w:shd w:fill="FFFFFF" w:val="clear"/>
          <w:lang w:bidi="ar"/>
        </w:rPr>
        <w:t>应当给予治安管理处罚的，依照《中华人民共和国治安管理处罚法》的有关规定处罚</w:t>
      </w:r>
      <w:r>
        <w:rPr>
          <w:rFonts w:eastAsia="CESI仿宋-GB13000;仿宋" w:cs="CESI仿宋-GB13000;仿宋" w:hint="eastAsia" w:ascii="CESI仿宋-GB13000;仿宋" w:hAnsi="CESI仿宋-GB13000;仿宋"/>
          <w:i w:val="false"/>
          <w:caps w:val="false"/>
          <w:smallCaps w:val="false"/>
          <w:color w:val="000000"/>
          <w:spacing w:val="0"/>
          <w:kern w:val="0"/>
          <w:sz w:val="32"/>
          <w:szCs w:val="32"/>
          <w:shd w:fill="FFFFFF" w:val="clear"/>
          <w:lang w:bidi="ar"/>
        </w:rPr>
        <w:t>;</w:t>
      </w:r>
      <w:r>
        <w:rPr>
          <w:rFonts w:ascii="CESI仿宋-GB13000;仿宋" w:hAnsi="CESI仿宋-GB13000;仿宋" w:cs="CESI仿宋-GB13000;仿宋" w:hint="eastAsia" w:eastAsia="CESI仿宋-GB13000;仿宋"/>
          <w:i w:val="false"/>
          <w:caps w:val="false"/>
          <w:smallCaps w:val="false"/>
          <w:color w:val="000000"/>
          <w:spacing w:val="0"/>
          <w:kern w:val="0"/>
          <w:sz w:val="32"/>
          <w:szCs w:val="32"/>
          <w:shd w:fill="FFFFFF" w:val="clear"/>
          <w:lang w:bidi="ar"/>
        </w:rPr>
        <w:t>构成犯罪的，依法追究刑事责任</w:t>
      </w:r>
      <w:r>
        <w:rPr>
          <w:rFonts w:eastAsia="CESI仿宋-GB13000;仿宋" w:cs="CESI仿宋-GB13000;仿宋" w:hint="eastAsia" w:ascii="CESI仿宋-GB13000;仿宋" w:hAnsi="CESI仿宋-GB13000;仿宋"/>
          <w:i w:val="false"/>
          <w:caps w:val="false"/>
          <w:smallCaps w:val="false"/>
          <w:color w:val="000000"/>
          <w:spacing w:val="0"/>
          <w:kern w:val="0"/>
          <w:sz w:val="32"/>
          <w:szCs w:val="32"/>
          <w:shd w:fill="FFFFFF" w:val="clear"/>
          <w:lang w:bidi="ar"/>
        </w:rPr>
        <w:t>:</w:t>
      </w:r>
    </w:p>
    <w:p>
      <w:pPr>
        <w:pStyle w:val="Normal"/>
        <w:pageBreakBefore w:val="false"/>
        <w:widowControl w:val="false"/>
        <w:kinsoku w:val="true"/>
        <w:overflowPunct w:val="true"/>
        <w:autoSpaceDE w:val="true"/>
        <w:bidi w:val="0"/>
        <w:snapToGrid w:val="false"/>
        <w:spacing w:lineRule="exact" w:line="560"/>
        <w:ind w:endChars="0" w:end="0"/>
        <w:textAlignment w:val="auto"/>
        <w:rPr>
          <w:rFonts w:ascii="Times New Roman" w:hAnsi="Times New Roman" w:eastAsia="仿宋_GB2312;仿宋" w:cs="仿宋_GB2312;仿宋" w:hint="eastAsia"/>
          <w:strike w:val="false"/>
          <w:dstrike w:val="false"/>
          <w:color w:val="000000"/>
          <w:szCs w:val="32"/>
          <w:highlight w:val="none"/>
        </w:rPr>
      </w:pPr>
      <w:r>
        <w:rPr>
          <w:rFonts w:ascii="Times New Roman" w:hAnsi="Times New Roman" w:cs="仿宋_GB2312;仿宋" w:hint="eastAsia" w:eastAsia="仿宋_GB2312;仿宋"/>
          <w:strike w:val="false"/>
          <w:dstrike w:val="false"/>
          <w:color w:val="000000"/>
          <w:szCs w:val="32"/>
        </w:rPr>
        <w:t>（一）损坏花坛、绿篱、草坪，攀折树木，剥刮树皮的，处一百元以上三百元以下罚款；</w:t>
      </w:r>
    </w:p>
    <w:p>
      <w:pPr>
        <w:pStyle w:val="Normal"/>
        <w:pageBreakBefore w:val="false"/>
        <w:widowControl w:val="false"/>
        <w:kinsoku w:val="true"/>
        <w:overflowPunct w:val="true"/>
        <w:autoSpaceDE w:val="true"/>
        <w:bidi w:val="0"/>
        <w:snapToGrid w:val="false"/>
        <w:spacing w:lineRule="exact" w:line="560"/>
        <w:ind w:endChars="0" w:end="0"/>
        <w:textAlignment w:val="auto"/>
        <w:rPr>
          <w:rFonts w:ascii="Times New Roman" w:hAnsi="Times New Roman" w:eastAsia="仿宋_GB2312;仿宋" w:cs="仿宋_GB2312;仿宋" w:hint="eastAsia"/>
          <w:strike w:val="false"/>
          <w:dstrike w:val="false"/>
          <w:color w:val="000000"/>
          <w:szCs w:val="32"/>
          <w:highlight w:val="none"/>
        </w:rPr>
      </w:pPr>
      <w:r>
        <w:rPr>
          <w:rFonts w:ascii="Times New Roman" w:hAnsi="Times New Roman" w:cs="仿宋_GB2312;仿宋" w:hint="eastAsia" w:eastAsia="仿宋_GB2312;仿宋"/>
          <w:strike w:val="false"/>
          <w:dstrike w:val="false"/>
          <w:color w:val="000000"/>
          <w:szCs w:val="32"/>
        </w:rPr>
        <w:t>（二）在树上牵绳挂物、架设电线、悬挂广告、刻划钉钉的，处二百元以上五百元以下罚款；</w:t>
      </w:r>
    </w:p>
    <w:p>
      <w:pPr>
        <w:pStyle w:val="Normal"/>
        <w:pageBreakBefore w:val="false"/>
        <w:widowControl w:val="false"/>
        <w:kinsoku w:val="true"/>
        <w:overflowPunct w:val="true"/>
        <w:autoSpaceDE w:val="true"/>
        <w:bidi w:val="0"/>
        <w:snapToGrid w:val="false"/>
        <w:spacing w:lineRule="exact" w:line="560"/>
        <w:ind w:endChars="0" w:end="0"/>
        <w:textAlignment w:val="auto"/>
        <w:rPr>
          <w:rFonts w:ascii="Times New Roman" w:hAnsi="Times New Roman" w:eastAsia="仿宋_GB2312;仿宋" w:cs="仿宋_GB2312;仿宋" w:hint="eastAsia"/>
          <w:strike w:val="false"/>
          <w:dstrike w:val="false"/>
          <w:color w:val="000000"/>
          <w:szCs w:val="32"/>
          <w:highlight w:val="none"/>
        </w:rPr>
      </w:pPr>
      <w:r>
        <w:rPr>
          <w:rFonts w:ascii="Times New Roman" w:hAnsi="Times New Roman" w:cs="仿宋_GB2312;仿宋" w:hint="eastAsia" w:eastAsia="仿宋_GB2312;仿宋"/>
          <w:strike w:val="false"/>
          <w:dstrike w:val="false"/>
          <w:color w:val="000000"/>
          <w:szCs w:val="32"/>
        </w:rPr>
        <w:t>（三）在绿地内移动座椅、果皮箱，攀登建筑和雕塑的，处五十元以上二百元以下罚款；</w:t>
      </w:r>
    </w:p>
    <w:p>
      <w:pPr>
        <w:pStyle w:val="Normal"/>
        <w:pageBreakBefore w:val="false"/>
        <w:widowControl w:val="false"/>
        <w:kinsoku w:val="true"/>
        <w:overflowPunct w:val="true"/>
        <w:autoSpaceDE w:val="true"/>
        <w:bidi w:val="0"/>
        <w:snapToGrid w:val="false"/>
        <w:spacing w:lineRule="exact" w:line="560"/>
        <w:ind w:endChars="0" w:end="0"/>
        <w:textAlignment w:val="auto"/>
        <w:rPr>
          <w:rFonts w:ascii="Times New Roman" w:hAnsi="Times New Roman" w:eastAsia="仿宋_GB2312;仿宋" w:cs="仿宋_GB2312;仿宋" w:hint="eastAsia"/>
          <w:strike w:val="false"/>
          <w:dstrike w:val="false"/>
          <w:color w:val="000000"/>
          <w:szCs w:val="32"/>
          <w:highlight w:val="none"/>
        </w:rPr>
      </w:pPr>
      <w:r>
        <w:rPr>
          <w:rFonts w:ascii="Times New Roman" w:hAnsi="Times New Roman" w:cs="仿宋_GB2312;仿宋" w:hint="eastAsia" w:eastAsia="仿宋_GB2312;仿宋"/>
          <w:strike w:val="false"/>
          <w:dstrike w:val="false"/>
          <w:color w:val="000000"/>
          <w:szCs w:val="32"/>
        </w:rPr>
        <w:t>（四）在绿地内堆放物料、挖坑取土、开垦种植、倾倒垃圾渣土、燃烧物品、排放污水的，处损坏绿地面积每平方米一百元罚款；</w:t>
      </w:r>
    </w:p>
    <w:p>
      <w:pPr>
        <w:pStyle w:val="Normal"/>
        <w:pageBreakBefore w:val="false"/>
        <w:widowControl w:val="false"/>
        <w:kinsoku w:val="true"/>
        <w:overflowPunct w:val="true"/>
        <w:autoSpaceDE w:val="true"/>
        <w:bidi w:val="0"/>
        <w:snapToGrid w:val="false"/>
        <w:spacing w:lineRule="exact" w:line="560"/>
        <w:ind w:endChars="0" w:end="0"/>
        <w:textAlignment w:val="auto"/>
        <w:rPr>
          <w:rFonts w:eastAsia="仿宋_GB2312;仿宋" w:hint="eastAsia"/>
          <w:color w:val="000000"/>
          <w:highlight w:val="none"/>
        </w:rPr>
      </w:pPr>
      <w:r>
        <w:rPr>
          <w:rFonts w:ascii="Times New Roman" w:hAnsi="Times New Roman" w:cs="仿宋_GB2312;仿宋" w:hint="eastAsia" w:eastAsia="仿宋_GB2312;仿宋"/>
          <w:strike w:val="false"/>
          <w:dstrike w:val="false"/>
          <w:color w:val="000000"/>
          <w:szCs w:val="32"/>
        </w:rPr>
        <w:t>（五）在绿地内停放车辆，放牧捕猎的，处二百元以上五百元以下罚款；</w:t>
      </w:r>
    </w:p>
    <w:p>
      <w:pPr>
        <w:pStyle w:val="Normal"/>
        <w:pageBreakBefore w:val="false"/>
        <w:widowControl w:val="false"/>
        <w:kinsoku w:val="true"/>
        <w:overflowPunct w:val="true"/>
        <w:autoSpaceDE w:val="true"/>
        <w:bidi w:val="0"/>
        <w:snapToGrid w:val="false"/>
        <w:spacing w:lineRule="exact" w:line="560"/>
        <w:ind w:endChars="0" w:end="0"/>
        <w:textAlignment w:val="auto"/>
        <w:rPr>
          <w:rFonts w:ascii="Times New Roman" w:hAnsi="Times New Roman" w:eastAsia="仿宋_GB2312;仿宋" w:cs="仿宋_GB2312;仿宋"/>
          <w:strike w:val="false"/>
          <w:dstrike w:val="false"/>
          <w:color w:val="000000"/>
          <w:szCs w:val="32"/>
          <w:highlight w:val="none"/>
        </w:rPr>
      </w:pPr>
      <w:r>
        <w:rPr>
          <w:rFonts w:ascii="Times New Roman" w:hAnsi="Times New Roman" w:cs="仿宋_GB2312;仿宋" w:hint="eastAsia" w:eastAsia="仿宋_GB2312;仿宋"/>
          <w:strike w:val="false"/>
          <w:dstrike w:val="false"/>
          <w:color w:val="000000"/>
          <w:szCs w:val="32"/>
        </w:rPr>
        <w:t>（六）在绿地内擅自搭建建筑物、构筑物和其他设施的，处五百元以上三千以下罚款；</w:t>
      </w:r>
      <w:r>
        <w:rPr>
          <w:rFonts w:ascii="Times New Roman" w:hAnsi="Times New Roman" w:cs="仿宋_GB2312;仿宋" w:eastAsia="仿宋_GB2312;仿宋"/>
          <w:strike w:val="false"/>
          <w:dstrike w:val="false"/>
          <w:color w:val="000000"/>
          <w:szCs w:val="32"/>
        </w:rPr>
        <w:t xml:space="preserve"> </w:t>
      </w:r>
    </w:p>
    <w:p>
      <w:pPr>
        <w:pStyle w:val="Style13"/>
        <w:pageBreakBefore w:val="false"/>
        <w:widowControl w:val="false"/>
        <w:kinsoku w:val="true"/>
        <w:overflowPunct w:val="true"/>
        <w:autoSpaceDE w:val="true"/>
        <w:bidi w:val="0"/>
        <w:spacing w:lineRule="exact" w:line="560"/>
        <w:ind w:firstLineChars="200" w:endChars="0" w:end="0"/>
        <w:textAlignment w:val="auto"/>
        <w:rPr>
          <w:rFonts w:eastAsia="仿宋" w:hint="eastAsia"/>
          <w:color w:val="000000"/>
          <w:highlight w:val="none"/>
        </w:rPr>
      </w:pPr>
      <w:r>
        <w:rPr>
          <w:rFonts w:ascii="Times New Roman" w:hAnsi="Times New Roman" w:cs="仿宋_GB2312;仿宋" w:hint="eastAsia" w:eastAsia="仿宋_GB2312;仿宋"/>
          <w:strike w:val="false"/>
          <w:dstrike w:val="false"/>
          <w:color w:val="000000"/>
          <w:szCs w:val="32"/>
        </w:rPr>
        <w:t>（七）</w:t>
      </w:r>
      <w:r>
        <w:rPr>
          <w:rFonts w:ascii="仿宋" w:hAnsi="仿宋" w:cs="仿宋" w:hint="eastAsia"/>
          <w:color w:val="000000"/>
          <w:szCs w:val="32"/>
        </w:rPr>
        <w:t>在绿地内未按</w:t>
      </w:r>
      <w:r>
        <w:rPr>
          <w:rFonts w:hint="eastAsia"/>
          <w:color w:val="000000"/>
        </w:rPr>
        <w:t>指定地点</w:t>
      </w:r>
      <w:r>
        <w:rPr>
          <w:rFonts w:ascii="仿宋" w:hAnsi="仿宋" w:cs="仿宋" w:hint="eastAsia"/>
          <w:color w:val="000000"/>
          <w:szCs w:val="32"/>
        </w:rPr>
        <w:t>摆摊设点，</w:t>
      </w:r>
      <w:r>
        <w:rPr>
          <w:rFonts w:hint="eastAsia"/>
          <w:color w:val="000000"/>
        </w:rPr>
        <w:t>处五百元以上一千元以下罚款；情节严重的，可以提请市场监督管理部门吊销营业执照；</w:t>
      </w:r>
    </w:p>
    <w:p>
      <w:pPr>
        <w:pStyle w:val="Normal"/>
        <w:pageBreakBefore w:val="false"/>
        <w:widowControl w:val="false"/>
        <w:kinsoku w:val="true"/>
        <w:overflowPunct w:val="true"/>
        <w:autoSpaceDE w:val="true"/>
        <w:bidi w:val="0"/>
        <w:snapToGrid w:val="false"/>
        <w:spacing w:lineRule="exact" w:line="560"/>
        <w:ind w:endChars="0" w:end="0"/>
        <w:textAlignment w:val="auto"/>
        <w:rPr>
          <w:rFonts w:ascii="Times New Roman" w:hAnsi="Times New Roman" w:eastAsia="仿宋_GB2312;仿宋" w:cs="仿宋_GB2312;仿宋" w:hint="eastAsia"/>
          <w:strike w:val="false"/>
          <w:dstrike w:val="false"/>
          <w:color w:val="000000"/>
          <w:sz w:val="32"/>
          <w:szCs w:val="32"/>
          <w:highlight w:val="none"/>
        </w:rPr>
      </w:pPr>
      <w:r>
        <w:rPr>
          <w:rFonts w:ascii="Times New Roman" w:hAnsi="Times New Roman" w:cs="仿宋_GB2312;仿宋" w:hint="eastAsia" w:eastAsia="仿宋_GB2312;仿宋"/>
          <w:strike w:val="false"/>
          <w:dstrike w:val="false"/>
          <w:color w:val="000000"/>
          <w:kern w:val="2"/>
          <w:sz w:val="32"/>
          <w:szCs w:val="32"/>
        </w:rPr>
        <w:t>（八）</w:t>
      </w:r>
      <w:r>
        <w:rPr>
          <w:rFonts w:ascii="Times New Roman" w:hAnsi="Times New Roman" w:cs="仿宋_GB2312;仿宋" w:hint="eastAsia" w:eastAsia="仿宋_GB2312;仿宋"/>
          <w:strike w:val="false"/>
          <w:dstrike w:val="false"/>
          <w:color w:val="000000"/>
          <w:sz w:val="32"/>
          <w:szCs w:val="32"/>
        </w:rPr>
        <w:t>损坏城市绿化设施的，按造价的一至二倍处以罚款。</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第三十五条</w:t>
      </w:r>
      <w:r>
        <w:rPr>
          <w:rFonts w:hint="eastAsia"/>
          <w:color w:val="000000"/>
        </w:rPr>
        <w:t xml:space="preserve">  城市绿化主管部门及其他主管部门违反本条例规定，有下列行为之一的，对直接负责的主管人员和其他直接负责人依法给予处分；构成犯罪的，依法追究刑事责任：</w:t>
      </w:r>
    </w:p>
    <w:p>
      <w:pPr>
        <w:pStyle w:val="Style13"/>
        <w:pageBreakBefore w:val="false"/>
        <w:widowControl w:val="false"/>
        <w:kinsoku w:val="true"/>
        <w:overflowPunct w:val="true"/>
        <w:autoSpaceDE w:val="true"/>
        <w:bidi w:val="0"/>
        <w:spacing w:lineRule="exact" w:line="560"/>
        <w:ind w:firstLineChars="200" w:endChars="0" w:end="0"/>
        <w:textAlignment w:val="auto"/>
        <w:rPr>
          <w:color w:val="000000"/>
          <w:highlight w:val="none"/>
        </w:rPr>
      </w:pPr>
      <w:r>
        <w:rPr>
          <w:rFonts w:hint="eastAsia"/>
          <w:color w:val="000000"/>
        </w:rPr>
        <w:t>（一）未组织编制城市绿化规划的；</w:t>
      </w:r>
    </w:p>
    <w:p>
      <w:pPr>
        <w:pStyle w:val="Style13"/>
        <w:pageBreakBefore w:val="false"/>
        <w:widowControl w:val="false"/>
        <w:kinsoku w:val="true"/>
        <w:overflowPunct w:val="true"/>
        <w:autoSpaceDE w:val="true"/>
        <w:bidi w:val="0"/>
        <w:spacing w:lineRule="exact" w:line="560"/>
        <w:ind w:firstLineChars="200" w:endChars="0" w:end="0"/>
        <w:textAlignment w:val="auto"/>
        <w:rPr>
          <w:color w:val="000000"/>
          <w:highlight w:val="none"/>
        </w:rPr>
      </w:pPr>
      <w:r>
        <w:rPr>
          <w:rFonts w:hint="eastAsia"/>
          <w:color w:val="000000"/>
        </w:rPr>
        <w:t>（二）擅自改变城市绿化用地性质的；</w:t>
      </w:r>
    </w:p>
    <w:p>
      <w:pPr>
        <w:pStyle w:val="Style13"/>
        <w:pageBreakBefore w:val="false"/>
        <w:widowControl w:val="false"/>
        <w:kinsoku w:val="true"/>
        <w:overflowPunct w:val="true"/>
        <w:autoSpaceDE w:val="true"/>
        <w:bidi w:val="0"/>
        <w:spacing w:lineRule="exact" w:line="560"/>
        <w:ind w:firstLineChars="200" w:endChars="0" w:end="0"/>
        <w:textAlignment w:val="auto"/>
        <w:rPr>
          <w:color w:val="000000"/>
          <w:highlight w:val="none"/>
        </w:rPr>
      </w:pPr>
      <w:r>
        <w:rPr>
          <w:rFonts w:hint="eastAsia"/>
          <w:color w:val="000000"/>
        </w:rPr>
        <w:t>（三）未按时收回临时占用城市绿地的；</w:t>
      </w:r>
    </w:p>
    <w:p>
      <w:pPr>
        <w:pStyle w:val="Style13"/>
        <w:pageBreakBefore w:val="false"/>
        <w:widowControl w:val="false"/>
        <w:kinsoku w:val="true"/>
        <w:overflowPunct w:val="true"/>
        <w:autoSpaceDE w:val="true"/>
        <w:bidi w:val="0"/>
        <w:spacing w:lineRule="exact" w:line="560"/>
        <w:ind w:firstLineChars="200" w:endChars="0" w:end="0"/>
        <w:textAlignment w:val="auto"/>
        <w:rPr>
          <w:color w:val="000000"/>
          <w:highlight w:val="none"/>
        </w:rPr>
      </w:pPr>
      <w:r>
        <w:rPr>
          <w:rFonts w:hint="eastAsia"/>
          <w:color w:val="000000"/>
        </w:rPr>
        <w:t>（四）对破坏绿地行为未及时制止的；</w:t>
      </w:r>
    </w:p>
    <w:p>
      <w:pPr>
        <w:pStyle w:val="Style13"/>
        <w:pageBreakBefore w:val="false"/>
        <w:widowControl w:val="false"/>
        <w:kinsoku w:val="true"/>
        <w:overflowPunct w:val="true"/>
        <w:autoSpaceDE w:val="true"/>
        <w:bidi w:val="0"/>
        <w:spacing w:lineRule="exact" w:line="560"/>
        <w:ind w:firstLineChars="200" w:endChars="0" w:end="0"/>
        <w:textAlignment w:val="auto"/>
        <w:rPr>
          <w:rFonts w:hint="eastAsia"/>
          <w:color w:val="000000"/>
          <w:highlight w:val="none"/>
        </w:rPr>
      </w:pPr>
      <w:r>
        <w:rPr>
          <w:rFonts w:hint="eastAsia"/>
          <w:color w:val="000000"/>
        </w:rPr>
        <w:t>（五）在城市绿化建设和管护工作中徇私舞弊、滥用职权、玩忽职守的其他行为。</w:t>
      </w:r>
    </w:p>
    <w:p>
      <w:pPr>
        <w:pStyle w:val="Heading2"/>
        <w:pageBreakBefore w:val="false"/>
        <w:widowControl w:val="false"/>
        <w:kinsoku w:val="true"/>
        <w:overflowPunct w:val="true"/>
        <w:autoSpaceDE w:val="true"/>
        <w:bidi w:val="0"/>
        <w:spacing w:lineRule="exact" w:line="560"/>
        <w:ind w:endChars="0" w:end="0"/>
        <w:jc w:val="center"/>
        <w:textAlignment w:val="auto"/>
        <w:rPr>
          <w:rFonts w:ascii="黑体" w:hAnsi="黑体" w:eastAsia="黑体" w:cs="黑体"/>
          <w:b w:val="false"/>
          <w:bCs w:val="false"/>
          <w:color w:val="000000"/>
          <w:sz w:val="32"/>
          <w:szCs w:val="32"/>
          <w:highlight w:val="none"/>
        </w:rPr>
      </w:pPr>
      <w:r>
        <w:rPr>
          <w:rFonts w:ascii="黑体" w:hAnsi="黑体" w:cs="黑体"/>
          <w:b w:val="false"/>
          <w:bCs w:val="false"/>
          <w:color w:val="000000"/>
          <w:sz w:val="32"/>
          <w:szCs w:val="32"/>
        </w:rPr>
        <w:t>第五章  附　  则</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第三十六条</w:t>
      </w:r>
      <w:r>
        <w:rPr>
          <w:rFonts w:hint="eastAsia"/>
          <w:color w:val="000000"/>
        </w:rPr>
        <w:t>　本条例所称城市绿化规划，主要指城市绿地系统规划。</w:t>
      </w:r>
    </w:p>
    <w:p>
      <w:pPr>
        <w:pStyle w:val="Normal"/>
        <w:pageBreakBefore w:val="false"/>
        <w:widowControl w:val="false"/>
        <w:kinsoku w:val="true"/>
        <w:overflowPunct w:val="true"/>
        <w:autoSpaceDE w:val="true"/>
        <w:bidi w:val="0"/>
        <w:spacing w:lineRule="exact" w:line="560"/>
        <w:ind w:endChars="0" w:end="0"/>
        <w:textAlignment w:val="auto"/>
        <w:rPr>
          <w:rFonts w:hint="eastAsia"/>
          <w:color w:val="000000"/>
          <w:highlight w:val="none"/>
        </w:rPr>
      </w:pPr>
      <w:r>
        <w:rPr>
          <w:rFonts w:hint="eastAsia"/>
          <w:color w:val="000000"/>
        </w:rPr>
        <w:t>本条例所称城市绿地，包括公园绿地、防护绿地、广场用地绿地、附属绿地、区域绿地等。</w:t>
      </w:r>
    </w:p>
    <w:p>
      <w:pPr>
        <w:pStyle w:val="Style13"/>
        <w:keepNext w:val="false"/>
        <w:keepLines w:val="false"/>
        <w:pageBreakBefore w:val="false"/>
        <w:widowControl w:val="false"/>
        <w:kinsoku w:val="true"/>
        <w:overflowPunct w:val="true"/>
        <w:autoSpaceDE w:val="true"/>
        <w:bidi w:val="0"/>
        <w:snapToGrid w:val="true"/>
        <w:ind w:firstLineChars="200" w:endChars="0" w:end="0"/>
        <w:textAlignment w:val="auto"/>
        <w:rPr>
          <w:rFonts w:ascii="仿宋" w:hAnsi="仿宋" w:eastAsia="仿宋" w:cs="仿宋" w:hint="eastAsia"/>
          <w:color w:val="000000"/>
        </w:rPr>
      </w:pPr>
      <w:r>
        <w:rPr>
          <w:rFonts w:ascii="仿宋" w:hAnsi="仿宋" w:cs="仿宋" w:hint="eastAsia"/>
          <w:color w:val="000000"/>
        </w:rPr>
        <w:t>本条例所称城市大树，是指除古树名木和古树后备资源外，树龄在</w:t>
      </w:r>
      <w:r>
        <w:rPr>
          <w:rFonts w:ascii="仿宋" w:hAnsi="仿宋" w:cs="仿宋" w:hint="eastAsia"/>
          <w:color w:val="000000"/>
        </w:rPr>
        <w:t>二十</w:t>
      </w:r>
      <w:r>
        <w:rPr>
          <w:rFonts w:ascii="仿宋" w:hAnsi="仿宋" w:cs="仿宋" w:hint="eastAsia"/>
          <w:color w:val="000000"/>
        </w:rPr>
        <w:t>年以上的城市树木，或者胸径在</w:t>
      </w:r>
      <w:r>
        <w:rPr>
          <w:rFonts w:ascii="仿宋" w:hAnsi="仿宋" w:cs="仿宋" w:hint="eastAsia"/>
          <w:color w:val="000000"/>
        </w:rPr>
        <w:t>二十</w:t>
      </w:r>
      <w:r>
        <w:rPr>
          <w:rFonts w:ascii="仿宋" w:hAnsi="仿宋" w:cs="仿宋" w:hint="eastAsia"/>
          <w:color w:val="000000"/>
        </w:rPr>
        <w:t>厘米以上的落叶乔木</w:t>
      </w:r>
      <w:r>
        <w:rPr>
          <w:rFonts w:ascii="仿宋" w:hAnsi="仿宋" w:cs="仿宋" w:hint="eastAsia"/>
          <w:color w:val="000000"/>
        </w:rPr>
        <w:t>，或者</w:t>
      </w:r>
      <w:r>
        <w:rPr>
          <w:rFonts w:ascii="仿宋" w:hAnsi="仿宋" w:cs="仿宋" w:hint="eastAsia"/>
          <w:color w:val="000000"/>
        </w:rPr>
        <w:t>株高</w:t>
      </w:r>
      <w:r>
        <w:rPr>
          <w:rFonts w:ascii="仿宋" w:hAnsi="仿宋" w:cs="仿宋" w:hint="eastAsia"/>
          <w:color w:val="000000"/>
        </w:rPr>
        <w:t>六</w:t>
      </w:r>
      <w:r>
        <w:rPr>
          <w:rFonts w:ascii="仿宋" w:hAnsi="仿宋" w:cs="仿宋" w:hint="eastAsia"/>
          <w:color w:val="000000"/>
        </w:rPr>
        <w:t>米</w:t>
      </w:r>
      <w:r>
        <w:rPr>
          <w:rFonts w:ascii="仿宋" w:hAnsi="仿宋" w:cs="仿宋" w:hint="eastAsia"/>
          <w:color w:val="000000"/>
        </w:rPr>
        <w:t>（</w:t>
      </w:r>
      <w:r>
        <w:rPr>
          <w:rFonts w:ascii="仿宋" w:hAnsi="仿宋" w:cs="仿宋" w:hint="eastAsia"/>
          <w:color w:val="000000"/>
        </w:rPr>
        <w:t>地径</w:t>
      </w:r>
      <w:r>
        <w:rPr>
          <w:rFonts w:ascii="仿宋" w:hAnsi="仿宋" w:cs="仿宋" w:hint="eastAsia"/>
          <w:color w:val="000000"/>
        </w:rPr>
        <w:t>十八</w:t>
      </w:r>
      <w:r>
        <w:rPr>
          <w:rFonts w:ascii="仿宋" w:hAnsi="仿宋" w:cs="仿宋" w:hint="eastAsia"/>
          <w:color w:val="000000"/>
        </w:rPr>
        <w:t>厘米以上</w:t>
      </w:r>
      <w:r>
        <w:rPr>
          <w:rFonts w:ascii="仿宋" w:hAnsi="仿宋" w:cs="仿宋" w:hint="eastAsia"/>
          <w:color w:val="000000"/>
        </w:rPr>
        <w:t>）</w:t>
      </w:r>
      <w:r>
        <w:rPr>
          <w:rFonts w:ascii="仿宋" w:hAnsi="仿宋" w:cs="仿宋" w:hint="eastAsia"/>
          <w:color w:val="000000"/>
        </w:rPr>
        <w:t>的常绿乔木</w:t>
      </w:r>
      <w:r>
        <w:rPr>
          <w:rFonts w:ascii="仿宋" w:hAnsi="仿宋" w:cs="仿宋" w:hint="eastAsia"/>
          <w:color w:val="000000"/>
        </w:rPr>
        <w:t>。</w:t>
      </w:r>
    </w:p>
    <w:p>
      <w:pPr>
        <w:pStyle w:val="Style13"/>
        <w:pageBreakBefore w:val="false"/>
        <w:widowControl w:val="false"/>
        <w:kinsoku w:val="true"/>
        <w:overflowPunct w:val="true"/>
        <w:autoSpaceDE w:val="true"/>
        <w:bidi w:val="0"/>
        <w:spacing w:lineRule="exact" w:line="560"/>
        <w:ind w:firstLineChars="200" w:endChars="0" w:end="0"/>
        <w:textAlignment w:val="auto"/>
        <w:rPr>
          <w:color w:val="000000"/>
          <w:highlight w:val="none"/>
        </w:rPr>
      </w:pPr>
      <w:r>
        <w:rPr>
          <w:rFonts w:ascii="黑体" w:hAnsi="黑体" w:cs="黑体" w:hint="eastAsia" w:eastAsia="黑体"/>
          <w:color w:val="000000"/>
          <w:szCs w:val="32"/>
        </w:rPr>
        <w:t xml:space="preserve">第三十七条  </w:t>
      </w:r>
      <w:r>
        <w:rPr>
          <w:rFonts w:hint="eastAsia"/>
          <w:color w:val="000000"/>
        </w:rPr>
        <w:t>城市绿化补偿费标准和管理办法由市、县（市、区）人民政府制定。城市绿化补偿费应当包括建设工程绿化用地补偿费、临时占用城市绿地补偿费、砍伐（移植）树木补偿费等。城市绿化补偿费应当上缴本级财政，专项用于城市绿化的建设和管护。　</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 xml:space="preserve">第三十八条  </w:t>
      </w:r>
      <w:r>
        <w:rPr>
          <w:rFonts w:hint="eastAsia"/>
          <w:color w:val="000000"/>
        </w:rPr>
        <w:t>实行城市化管理的开发区、镇绿化的规划、建设、保护和管理，参照本条例执行。</w:t>
      </w:r>
    </w:p>
    <w:p>
      <w:pPr>
        <w:pStyle w:val="Normal"/>
        <w:pageBreakBefore w:val="false"/>
        <w:widowControl w:val="false"/>
        <w:kinsoku w:val="true"/>
        <w:overflowPunct w:val="true"/>
        <w:autoSpaceDE w:val="true"/>
        <w:bidi w:val="0"/>
        <w:spacing w:lineRule="exact" w:line="560"/>
        <w:ind w:endChars="0" w:end="0"/>
        <w:textAlignment w:val="auto"/>
        <w:rPr>
          <w:color w:val="000000"/>
          <w:highlight w:val="none"/>
        </w:rPr>
      </w:pPr>
      <w:r>
        <w:rPr>
          <w:rFonts w:ascii="黑体" w:hAnsi="黑体" w:cs="黑体" w:hint="eastAsia" w:eastAsia="黑体"/>
          <w:color w:val="000000"/>
          <w:szCs w:val="32"/>
        </w:rPr>
        <w:t>第三十九条</w:t>
      </w:r>
      <w:r>
        <w:rPr>
          <w:rFonts w:hint="eastAsia"/>
          <w:color w:val="000000"/>
        </w:rPr>
        <w:t>　本条例自</w:t>
      </w:r>
      <w:r>
        <w:rPr>
          <w:rFonts w:hint="eastAsia"/>
          <w:color w:val="000000"/>
        </w:rPr>
        <w:t>2023</w:t>
      </w:r>
      <w:r>
        <w:rPr>
          <w:rFonts w:hint="eastAsia"/>
          <w:color w:val="000000"/>
        </w:rPr>
        <w:t>年</w:t>
      </w:r>
      <w:r>
        <w:rPr>
          <w:rFonts w:hint="eastAsia"/>
          <w:color w:val="000000"/>
        </w:rPr>
        <w:t>1</w:t>
      </w:r>
      <w:r>
        <w:rPr>
          <w:rFonts w:hint="eastAsia"/>
          <w:color w:val="000000"/>
        </w:rPr>
        <w:t>月</w:t>
      </w:r>
      <w:r>
        <w:rPr>
          <w:rFonts w:hint="eastAsia"/>
          <w:color w:val="000000"/>
        </w:rPr>
        <w:t>1</w:t>
      </w:r>
      <w:r>
        <w:rPr>
          <w:rFonts w:hint="eastAsia"/>
          <w:color w:val="000000"/>
        </w:rPr>
        <w:t>日起施行。</w:t>
      </w:r>
    </w:p>
    <w:p>
      <w:pPr>
        <w:pStyle w:val="Normal"/>
        <w:pageBreakBefore w:val="false"/>
        <w:widowControl w:val="false"/>
        <w:kinsoku w:val="true"/>
        <w:overflowPunct w:val="true"/>
        <w:autoSpaceDE w:val="true"/>
        <w:bidi w:val="0"/>
        <w:spacing w:lineRule="exact" w:line="560"/>
        <w:ind w:firstLineChars="0" w:firstLine="0" w:endChars="0" w:end="0"/>
        <w:textAlignment w:val="auto"/>
        <w:rPr>
          <w:color w:val="000000"/>
          <w:highlight w:val="none"/>
        </w:rPr>
      </w:pPr>
      <w:r>
        <w:rPr>
          <w:color w:val="000000"/>
        </w:rPr>
      </w:r>
    </w:p>
    <w:sectPr>
      <w:headerReference w:type="default" r:id="rId2"/>
      <w:footerReference w:type="default" r:id="rId3"/>
      <w:type w:val="nextPage"/>
      <w:pgSz w:w="11906" w:h="16838"/>
      <w:pgMar w:left="1587" w:right="1474" w:gutter="0" w:header="851"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
    <w:charset w:val="86"/>
    <w:family w:val="auto"/>
    <w:pitch w:val="default"/>
  </w:font>
  <w:font w:name="黑体">
    <w:charset w:val="86"/>
    <w:family w:val="auto"/>
    <w:pitch w:val="default"/>
  </w:font>
  <w:font w:name="Times New Roman">
    <w:charset w:val="00" w:characterSet="windows-1252"/>
    <w:family w:val="roman"/>
    <w:pitch w:val="default"/>
  </w:font>
  <w:font w:name="仿宋">
    <w:charset w:val="86"/>
    <w:family w:val="auto"/>
    <w:pitch w:val="default"/>
  </w:font>
  <w:font w:name="CESI仿宋-GB13000">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6"/>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docVars>
    <w:docVar w:name="commondata" w:val="eyJoZGlkIjoiZDQzNGRkMWE0Yzc2NmE4NzQwMWU2MDVmNzJkMjM2NT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3"/>
    <w:qFormat/>
    <w:pPr>
      <w:widowControl w:val="false"/>
      <w:bidi w:val="0"/>
      <w:ind w:firstLineChars="200" w:startChars="0" w:start="0" w:endChars="0" w:end="0"/>
    </w:pPr>
    <w:rPr>
      <w:rFonts w:ascii="Calibri" w:hAnsi="Calibri" w:eastAsia="仿宋" w:cs="黑体"/>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40" w:after="40"/>
      <w:outlineLvl w:val="0"/>
    </w:pPr>
    <w:rPr>
      <w:rFonts w:eastAsia="黑体"/>
      <w:b/>
      <w:kern w:val="2"/>
      <w:sz w:val="36"/>
    </w:rPr>
  </w:style>
  <w:style w:type="paragraph" w:styleId="Heading2">
    <w:name w:val="heading 2"/>
    <w:basedOn w:val="Normal"/>
    <w:next w:val="Normal"/>
    <w:qFormat/>
    <w:pPr>
      <w:keepNext w:val="true"/>
      <w:keepLines/>
      <w:numPr>
        <w:ilvl w:val="1"/>
        <w:numId w:val="1"/>
      </w:numPr>
      <w:spacing w:lineRule="exact" w:line="570" w:before="260" w:after="260"/>
      <w:ind w:firstLineChars="200" w:startChars="0" w:start="0" w:endChars="0" w:end="0"/>
      <w:outlineLvl w:val="1"/>
    </w:pPr>
    <w:rPr>
      <w:rFonts w:ascii="Arial" w:hAnsi="Arial" w:eastAsia="黑体" w:cs="Arial"/>
    </w:rPr>
  </w:style>
  <w:style w:type="paragraph" w:styleId="Heading3">
    <w:name w:val="heading 3"/>
    <w:basedOn w:val="Normal"/>
    <w:next w:val="Normal"/>
    <w:qFormat/>
    <w:pPr>
      <w:keepNext w:val="true"/>
      <w:keepLines/>
      <w:numPr>
        <w:ilvl w:val="2"/>
        <w:numId w:val="1"/>
      </w:numPr>
      <w:spacing w:lineRule="exact" w:line="570"/>
      <w:ind w:firstLineChars="200" w:startChars="0" w:start="0" w:endChars="0" w:end="0"/>
      <w:outlineLvl w:val="2"/>
    </w:pPr>
    <w:rPr>
      <w:rFonts w:eastAsia="楷体"/>
    </w:rPr>
  </w:style>
  <w:style w:type="character" w:styleId="WW8Num1z0">
    <w:name w:val="WW8Num1z0"/>
    <w:qFormat/>
    <w:rPr>
      <w:rFonts w:hint="eastAsia"/>
    </w:rPr>
  </w:style>
  <w:style w:type="character" w:styleId="Style11">
    <w:name w:val="默认段落字体"/>
    <w:qFormat/>
    <w:rPr/>
  </w:style>
  <w:style w:type="character" w:styleId="3Char">
    <w:name w:val="标题 3 Char"/>
    <w:qFormat/>
    <w:rPr>
      <w:rFonts w:eastAsia="楷体"/>
    </w:rPr>
  </w:style>
  <w:style w:type="character" w:styleId="Style12">
    <w:name w:val="批注引用"/>
    <w:basedOn w:val="Style11"/>
    <w:qFormat/>
    <w:rPr>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正文首行缩进"/>
    <w:basedOn w:val="BodyText"/>
    <w:qFormat/>
    <w:pPr>
      <w:ind w:firstLineChars="100" w:startChars="0" w:start="0" w:endChars="0" w:end="0"/>
    </w:pPr>
    <w:rPr/>
  </w:style>
  <w:style w:type="paragraph" w:styleId="Style14">
    <w:name w:val="批注文字"/>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ontentarticle">
    <w:name w:val="contentarticle"/>
    <w:basedOn w:val="Normal"/>
    <w:qFormat/>
    <w:pPr>
      <w:widowControl/>
      <w:spacing w:before="100" w:after="100"/>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2020-08-03T17:56:00Z</dcterms:created>
  <dc:creator>a</dc:creator>
  <dc:description/>
  <dc:language>en-US</dc:language>
  <cp:lastModifiedBy>此生无悔</cp:lastModifiedBy>
  <cp:lastPrinted>2022-10-24T11:57:00Z</cp:lastPrinted>
  <dcterms:modified xsi:type="dcterms:W3CDTF">2023-02-01T11:02:02Z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230B84D1196D483FBF10A57B90CDB7C9</vt:lpwstr>
  </property>
  <property fmtid="{D5CDD505-2E9C-101B-9397-08002B2CF9AE}" pid="3" name="KSOProductBuildVer">
    <vt:lpwstr>2052-11.1.0.13703</vt:lpwstr>
  </property>
</Properties>
</file>