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78"/>
        <w:ind w:firstLineChars="200" w:startChars="0" w:start="0" w:endChars="0" w:end="0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spacing w:lineRule="exact" w:line="578"/>
        <w:ind w:firstLineChars="200" w:startChars="0" w:start="0" w:endChars="0" w:end="0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spacing w:lineRule="exact" w:line="578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太原市区（市）人民代表大会常务委员会</w:t>
      </w:r>
    </w:p>
    <w:p>
      <w:pPr>
        <w:pStyle w:val="Normal"/>
        <w:spacing w:lineRule="exact" w:line="578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街道工作委员会工作条例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spacing w:lineRule="exact" w:line="578"/>
        <w:ind w:firstLineChars="0" w:firstLine="0" w:startChars="300" w:endChars="300"/>
        <w:rPr>
          <w:rFonts w:ascii="楷体_GB2312;宋体" w:hAnsi="楷体_GB2312;宋体" w:eastAsia="楷体_GB2312;宋体" w:cs="楷体_GB2312;宋体" w:hint="eastAsia"/>
          <w:sz w:val="32"/>
          <w:szCs w:val="32"/>
        </w:rPr>
      </w:pP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2001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年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6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27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日太原市第十届人民代表大会常务委员会第三十二次会议通过　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2001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年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7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月</w:t>
      </w:r>
      <w:r>
        <w:rPr>
          <w:rFonts w:eastAsia="楷体_GB2312;宋体" w:cs="楷体_GB2312;宋体" w:hint="eastAsia" w:ascii="楷体_GB2312;宋体" w:hAnsi="楷体_GB2312;宋体"/>
          <w:sz w:val="32"/>
          <w:szCs w:val="32"/>
        </w:rPr>
        <w:t>29</w:t>
      </w:r>
      <w:r>
        <w:rPr>
          <w:rFonts w:ascii="楷体_GB2312;宋体" w:hAnsi="楷体_GB2312;宋体" w:cs="楷体_GB2312;宋体" w:hint="eastAsia" w:eastAsia="楷体_GB2312;宋体"/>
          <w:sz w:val="32"/>
          <w:szCs w:val="32"/>
        </w:rPr>
        <w:t>日山西省第九届人民代表大会常务委员会第二十四次会议批准）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宋体" w:hAnsi="宋体" w:eastAsia="楷体_GB2312;宋体" w:cs="宋体" w:hint="eastAsia"/>
          <w:sz w:val="32"/>
          <w:szCs w:val="32"/>
        </w:rPr>
      </w:pPr>
      <w:r>
        <w:rPr>
          <w:rFonts w:eastAsia="楷体_GB2312;宋体" w:cs="宋体" w:hint="eastAsia" w:ascii="宋体" w:hAnsi="宋体"/>
          <w:sz w:val="32"/>
          <w:szCs w:val="32"/>
        </w:rPr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第一条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为规范区（市）人民代表大会常务委员会街道工作委员会的工作，进一步推进基层社会主义民主和法制建设，特制定本条例。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第二条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街道工作委员会是区（市）人民代表大会常务委员会的工作机构，在区（市）人民代表大会常务委员会的领导下开展工作。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第三条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街道工作委员会履行以下职责：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（一）宣传宪法、法律、行政法规、地方性法规和上级人民代表大会及其常务委员会的决议、决定，会同有关部门抓好基层民主和法制建设；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（二）按照区（市）人民代表大会常务委员会的工作计划和部署，组织辖区内的区（市）人民代表大会代表开展视察活动、执法检查和评议工作；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（三）联系辖区内的区（市）人民代表大会代表和上级人民代表大会代表，接待代表的来访，反映代表的意见和要求，督促街道办事处及有关单位认真办理代表提出的建议、批评和意见；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（四）组织和指导代表小组进行学习，开展活动，联系选民，反映人民群众的意见和要求；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（五）对街道办事处和区（市）人民政府所属部门派驻街道的工作机构的工作，提出意见和建议；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（六）对辖区内经济建设、社会治安、社会保障和人民群众关心的问题进行调查研究，向区（市）人民代表大会常务委员会和有关部门反映情况，提出意见和建议；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七）指导城市居民委员会和村民委员会依照《中华人民共和国城市居民委员会组织法》、《中华人民共和国村民委员会组织法》与《山西省实施〈中华人民共和国城市居民委员会组织法〉办法》、《山西省实施〈中华人民共和国村民委员会组织法〉办法》开展自治活动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（八）在区</w:t>
      </w:r>
      <w:r>
        <w:rPr>
          <w:rFonts w:eastAsia="仿宋_GB2312;宋体" w:cs="仿宋_GB2312;宋体" w:hint="eastAsia" w:ascii="仿宋_GB2312;宋体" w:hAnsi="仿宋_GB2312;宋体"/>
          <w:sz w:val="32"/>
          <w:szCs w:val="32"/>
        </w:rPr>
        <w:t>(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市</w:t>
      </w:r>
      <w:r>
        <w:rPr>
          <w:rFonts w:eastAsia="仿宋_GB2312;宋体" w:cs="仿宋_GB2312;宋体" w:hint="eastAsia" w:ascii="仿宋_GB2312;宋体" w:hAnsi="仿宋_GB2312;宋体"/>
          <w:sz w:val="32"/>
          <w:szCs w:val="32"/>
        </w:rPr>
        <w:t>)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人民代表大会常务委员会和选举委员会的领导下，承办辖区内区（市）人民代表大会代表选举的有关工作；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（九）办理区（市）人民代表大会常务委员会及其主任会议交办的有关事项。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第四条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街道工作委员会负责人，由区（市）人民代表大会常务委员会会议任免。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第五条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街道工作委员会议定事项，实行民主集中制原则。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第六条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街道工作委员会负责人列席区（市）人民代表大会常务委员会会议。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第七条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街道工作委员会举行会议时，根据工作需要，可以通知街道办事处、区（市）人民政府所属部门派驻街道的工作机构及有关单位负责人列席；也可以邀请辖区内的区（市）人民代表大会代表列席。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第八条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街道工作委员会与街道办事处和区（市）人民政府所属部门派驻街道的工作机构应建立负责人联系制度，互相通报主要工作情况，讨论研究有关问题。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第九条　</w:t>
      </w:r>
      <w:r>
        <w:rPr>
          <w:rFonts w:ascii="仿宋_GB2312;宋体" w:hAnsi="仿宋_GB2312;宋体" w:cs="仿宋_GB2312;宋体" w:hint="eastAsia" w:eastAsia="仿宋_GB2312;宋体"/>
          <w:sz w:val="32"/>
          <w:szCs w:val="32"/>
        </w:rPr>
        <w:t>本条例自公布之日起施行。</w:t>
      </w:r>
    </w:p>
    <w:p>
      <w:pPr>
        <w:pStyle w:val="Normal"/>
        <w:spacing w:lineRule="exact" w:line="578"/>
        <w:ind w:firstLineChars="200" w:startChars="0" w:start="0" w:endChars="0" w:end="0"/>
        <w:rPr>
          <w:rFonts w:ascii="仿宋_GB2312;宋体" w:hAnsi="仿宋_GB2312;宋体" w:eastAsia="仿宋_GB2312;宋体" w:cs="仿宋_GB2312;宋体" w:hint="eastAsia"/>
          <w:sz w:val="32"/>
          <w:szCs w:val="32"/>
        </w:rPr>
      </w:pPr>
      <w:r>
        <w:rPr>
          <w:rFonts w:eastAsia="仿宋_GB2312;宋体" w:cs="仿宋_GB2312;宋体" w:hint="eastAsia" w:ascii="仿宋_GB2312;宋体" w:hAnsi="仿宋_GB2312;宋体"/>
          <w:sz w:val="32"/>
          <w:szCs w:val="32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851" w:top="2041" w:footer="1304" w:bottom="2041"/>
      <w:pgNumType w:fmt="decimal"/>
      <w:formProt w:val="false"/>
      <w:textDirection w:val="lrTb"/>
      <w:docGrid w:type="lines" w:linePitch="31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宋体"/>
    <w:charset w:val="86"/>
    <w:family w:val="modern"/>
    <w:pitch w:val="default"/>
  </w:font>
  <w:font w:name="黑体">
    <w:charset w:val="86"/>
    <w:family w:val="auto"/>
    <w:pitch w:val="default"/>
  </w:font>
  <w:font w:name="仿宋_GB2312">
    <w:altName w:val="宋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100" w:startChars="0" w:start="0" w:endChars="0" w:end="0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fldChar w:fldCharType="begin"/>
    </w:r>
    <w:r>
      <w:rPr>
        <w:rFonts w:cs="Times New Roman" w:ascii="Times New Roman" w:hAnsi="Times New Roman"/>
        <w:sz w:val="28"/>
        <w:szCs w:val="28"/>
      </w:rPr>
      <w:instrText xml:space="preserve"> PAGE </w:instrText>
    </w:r>
    <w:r>
      <w:rPr>
        <w:rFonts w:cs="Times New Roman" w:ascii="Times New Roman" w:hAnsi="Times New Roman"/>
        <w:sz w:val="28"/>
        <w:szCs w:val="28"/>
      </w:rPr>
      <w:fldChar w:fldCharType="separate"/>
    </w:r>
    <w:r>
      <w:rPr>
        <w:rFonts w:cs="Times New Roman" w:ascii="Times New Roman" w:hAnsi="Times New Roman"/>
        <w:sz w:val="28"/>
        <w:szCs w:val="28"/>
      </w:rPr>
      <w:t>2</w:t>
    </w:r>
    <w:r>
      <w:rPr>
        <w:rFonts w:cs="Times New Roman" w:ascii="Times New Roman" w:hAnsi="Times New Roman"/>
        <w:sz w:val="28"/>
        <w:szCs w:val="28"/>
      </w:rPr>
      <w:fldChar w:fldCharType="end"/>
    </w:r>
  </w:p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  <w:fldChar w:fldCharType="begin"/>
    </w:r>
    <w:r>
      <w:rPr>
        <w:rFonts w:cs="Times New Roman" w:ascii="Times New Roman" w:hAnsi="Times New Roman"/>
        <w:sz w:val="28"/>
        <w:szCs w:val="28"/>
      </w:rPr>
      <w:instrText xml:space="preserve"> PAGE </w:instrText>
    </w:r>
    <w:r>
      <w:rPr>
        <w:rFonts w:cs="Times New Roman" w:ascii="Times New Roman" w:hAnsi="Times New Roman"/>
        <w:sz w:val="28"/>
        <w:szCs w:val="28"/>
      </w:rPr>
      <w:fldChar w:fldCharType="separate"/>
    </w:r>
    <w:r>
      <w:rPr>
        <w:rFonts w:cs="Times New Roman" w:ascii="Times New Roman" w:hAnsi="Times New Roman"/>
        <w:sz w:val="28"/>
        <w:szCs w:val="28"/>
      </w:rPr>
      <w:t>3</w:t>
    </w:r>
    <w:r>
      <w:rPr>
        <w:rFonts w:cs="Times New Roman" w:ascii="Times New Roman" w:hAnsi="Times New Roman"/>
        <w:sz w:val="28"/>
        <w:szCs w:val="28"/>
      </w:rPr>
      <w:fldChar w:fldCharType="end"/>
    </w:r>
    <w:r>
      <w:rPr>
        <w:rFonts w:ascii="Times New Roman" w:hAnsi="Times New Roman" w:cs="Times New Roman" w:hint="eastAsia"/>
        <w:sz w:val="28"/>
        <w:szCs w:val="28"/>
      </w:rPr>
      <w:t>　</w:t>
    </w:r>
  </w:p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80" w:after="280"/>
      <w:jc w:val="start"/>
      <w:outlineLvl w:val="0"/>
    </w:pPr>
    <w:rPr>
      <w:rFonts w:ascii="宋体" w:hAnsi="宋体" w:cs="宋体"/>
      <w:b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280" w:after="280"/>
      <w:jc w:val="start"/>
      <w:outlineLvl w:val="1"/>
    </w:pPr>
    <w:rPr>
      <w:rFonts w:ascii="宋体" w:hAnsi="宋体" w:cs="宋体"/>
      <w:b/>
      <w:sz w:val="36"/>
      <w:szCs w:val="3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80" w:after="280"/>
      <w:jc w:val="start"/>
      <w:outlineLvl w:val="2"/>
    </w:pPr>
    <w:rPr>
      <w:rFonts w:ascii="宋体" w:hAnsi="宋体" w:cs="宋体"/>
      <w:b/>
      <w:sz w:val="27"/>
      <w:szCs w:val="27"/>
    </w:rPr>
  </w:style>
  <w:style w:type="character" w:styleId="Style11">
    <w:name w:val="默认段落字体"/>
    <w:qFormat/>
    <w:rPr/>
  </w:style>
  <w:style w:type="character" w:styleId="2Char">
    <w:name w:val="标题 2 Char"/>
    <w:qFormat/>
    <w:rPr>
      <w:rFonts w:ascii="宋体" w:hAnsi="宋体" w:cs="宋体"/>
      <w:b/>
      <w:sz w:val="36"/>
      <w:szCs w:val="36"/>
    </w:rPr>
  </w:style>
  <w:style w:type="character" w:styleId="Char">
    <w:name w:val="页脚 Char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qFormat/>
    <w:rPr>
      <w:rFonts w:ascii="Calibri" w:hAnsi="Calibri" w:cs="Calibri"/>
      <w:kern w:val="2"/>
      <w:sz w:val="18"/>
      <w:szCs w:val="18"/>
    </w:rPr>
  </w:style>
  <w:style w:type="character" w:styleId="3Char">
    <w:name w:val="标题 3 Char"/>
    <w:qFormat/>
    <w:rPr>
      <w:rFonts w:ascii="宋体" w:hAnsi="宋体" w:cs="宋体"/>
      <w:b/>
      <w:sz w:val="27"/>
      <w:szCs w:val="27"/>
    </w:rPr>
  </w:style>
  <w:style w:type="character" w:styleId="1Char">
    <w:name w:val="标题 1 Char"/>
    <w:qFormat/>
    <w:rPr>
      <w:rFonts w:ascii="宋体" w:hAnsi="宋体" w:cs="宋体"/>
      <w:b/>
      <w:kern w:val="2"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Calibri" w:hAnsi="Calibri" w:cs="Calibri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2017-01-03T14:39:00Z</dcterms:created>
  <dc:creator>User</dc:creator>
  <dc:description/>
  <dc:language>en-US</dc:language>
  <cp:lastModifiedBy>User</cp:lastModifiedBy>
  <dcterms:modified xsi:type="dcterms:W3CDTF">2017-02-24T18:49:00Z</dcterms:modified>
  <cp:revision>7</cp:revision>
  <dc:subject/>
  <dc:title>太原市水资源管理办法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2052-8.1.0.3000</vt:lpwstr>
  </property>
</Properties>
</file>