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420"/>
          <w:tab w:val="left" w:pos="7400" w:leader="none"/>
        </w:tabs>
        <w:spacing w:lineRule="exact" w:line="578"/>
        <w:textAlignment w:val="auto"/>
        <w:rPr>
          <w:rFonts w:eastAsia="仿宋_GB2312"/>
          <w:sz w:val="32"/>
          <w:szCs w:val="32"/>
        </w:rPr>
      </w:pPr>
      <w:r>
        <w:rPr>
          <w:rFonts w:eastAsia="仿宋_GB2312"/>
          <w:sz w:val="32"/>
          <w:szCs w:val="32"/>
        </w:rPr>
        <w:tab/>
      </w:r>
    </w:p>
    <w:p>
      <w:pPr>
        <w:pStyle w:val="Normal"/>
        <w:widowControl w:val="false"/>
        <w:spacing w:lineRule="exact" w:line="578"/>
        <w:jc w:val="center"/>
        <w:textAlignment w:val="auto"/>
        <w:rPr>
          <w:rFonts w:eastAsia="方正小标宋简体"/>
          <w:sz w:val="44"/>
          <w:szCs w:val="44"/>
        </w:rPr>
      </w:pPr>
      <w:r>
        <w:rPr>
          <w:rFonts w:eastAsia="方正小标宋简体"/>
          <w:sz w:val="44"/>
          <w:szCs w:val="44"/>
        </w:rPr>
        <w:t>大同市煤炭资源保护办法</w:t>
      </w:r>
    </w:p>
    <w:p>
      <w:pPr>
        <w:pStyle w:val="Normal"/>
        <w:widowControl w:val="false"/>
        <w:spacing w:lineRule="exact" w:line="578"/>
        <w:ind w:firstLineChars="200" w:startChars="200" w:endChars="200"/>
        <w:rPr>
          <w:rFonts w:eastAsia="楷体_GB2312"/>
          <w:b/>
          <w:bCs/>
          <w:smallCaps/>
          <w:sz w:val="32"/>
          <w:szCs w:val="32"/>
        </w:rPr>
      </w:pPr>
      <w:r>
        <w:rPr>
          <w:rFonts w:eastAsia="楷体_GB2312"/>
          <w:b/>
          <w:bCs/>
          <w:smallCap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baseline"/>
        <w:rPr>
          <w:rFonts w:eastAsia="楷体_GB2312"/>
          <w:bCs/>
          <w:smallCaps/>
          <w:sz w:val="32"/>
          <w:szCs w:val="32"/>
        </w:rPr>
      </w:pPr>
      <w:r>
        <w:rPr>
          <w:rFonts w:eastAsia="楷体_GB2312"/>
          <w:bCs/>
          <w:smallCaps/>
          <w:sz w:val="32"/>
          <w:szCs w:val="32"/>
        </w:rPr>
        <w:t>(2006</w:t>
      </w:r>
      <w:r>
        <w:rPr>
          <w:rFonts w:eastAsia="楷体_GB2312"/>
          <w:bCs/>
          <w:smallCaps/>
          <w:sz w:val="32"/>
          <w:szCs w:val="32"/>
        </w:rPr>
        <w:t>年</w:t>
      </w:r>
      <w:r>
        <w:rPr>
          <w:rFonts w:eastAsia="楷体_GB2312"/>
          <w:bCs/>
          <w:smallCaps/>
          <w:sz w:val="32"/>
          <w:szCs w:val="32"/>
        </w:rPr>
        <w:t>8</w:t>
      </w:r>
      <w:r>
        <w:rPr>
          <w:rFonts w:eastAsia="楷体_GB2312"/>
          <w:bCs/>
          <w:smallCaps/>
          <w:sz w:val="32"/>
          <w:szCs w:val="32"/>
        </w:rPr>
        <w:t>月</w:t>
      </w:r>
      <w:r>
        <w:rPr>
          <w:rFonts w:eastAsia="楷体_GB2312"/>
          <w:bCs/>
          <w:smallCaps/>
          <w:sz w:val="32"/>
          <w:szCs w:val="32"/>
        </w:rPr>
        <w:t>23</w:t>
      </w:r>
      <w:r>
        <w:rPr>
          <w:rFonts w:eastAsia="楷体_GB2312"/>
          <w:bCs/>
          <w:smallCaps/>
          <w:sz w:val="32"/>
          <w:szCs w:val="32"/>
        </w:rPr>
        <w:t>日大同市第十二届人民代表大会常务委员会第二十四次会议通过</w:t>
      </w:r>
      <w:r>
        <w:rPr>
          <w:rFonts w:hint="eastAsia" w:eastAsia="楷体_GB2312"/>
          <w:bCs/>
          <w:smallCaps/>
          <w:sz w:val="32"/>
          <w:szCs w:val="32"/>
        </w:rPr>
        <w:t xml:space="preserve">  </w:t>
      </w:r>
      <w:r>
        <w:rPr>
          <w:rFonts w:eastAsia="楷体_GB2312"/>
          <w:bCs/>
          <w:smallCaps/>
          <w:sz w:val="32"/>
          <w:szCs w:val="32"/>
        </w:rPr>
        <w:t>2006</w:t>
      </w:r>
      <w:r>
        <w:rPr>
          <w:rFonts w:eastAsia="楷体_GB2312"/>
          <w:bCs/>
          <w:smallCaps/>
          <w:sz w:val="32"/>
          <w:szCs w:val="32"/>
        </w:rPr>
        <w:t>年</w:t>
      </w:r>
      <w:r>
        <w:rPr>
          <w:rFonts w:eastAsia="楷体_GB2312"/>
          <w:bCs/>
          <w:smallCaps/>
          <w:sz w:val="32"/>
          <w:szCs w:val="32"/>
        </w:rPr>
        <w:t>9</w:t>
      </w:r>
      <w:r>
        <w:rPr>
          <w:rFonts w:eastAsia="楷体_GB2312"/>
          <w:bCs/>
          <w:smallCaps/>
          <w:sz w:val="32"/>
          <w:szCs w:val="32"/>
        </w:rPr>
        <w:t>月</w:t>
      </w:r>
      <w:r>
        <w:rPr>
          <w:rFonts w:eastAsia="楷体_GB2312"/>
          <w:bCs/>
          <w:smallCaps/>
          <w:sz w:val="32"/>
          <w:szCs w:val="32"/>
        </w:rPr>
        <w:t>28</w:t>
      </w:r>
      <w:r>
        <w:rPr>
          <w:rFonts w:eastAsia="楷体_GB2312"/>
          <w:bCs/>
          <w:smallCaps/>
          <w:sz w:val="32"/>
          <w:szCs w:val="32"/>
        </w:rPr>
        <w:t>日山西省第十届人民代表大会常务委员会第二十六次会议批准</w:t>
      </w:r>
      <w:r>
        <w:rPr>
          <w:rFonts w:hint="eastAsia" w:eastAsia="楷体_GB2312"/>
          <w:bCs/>
          <w:smallCaps/>
          <w:sz w:val="32"/>
          <w:szCs w:val="32"/>
        </w:rPr>
        <w:t xml:space="preserve">    </w:t>
      </w:r>
      <w:r>
        <w:rPr>
          <w:rFonts w:eastAsia="楷体_GB2312"/>
          <w:bCs/>
          <w:smallCaps/>
          <w:sz w:val="32"/>
          <w:szCs w:val="32"/>
        </w:rPr>
        <w:t>根据</w:t>
      </w:r>
      <w:r>
        <w:rPr>
          <w:rFonts w:eastAsia="楷体_GB2312"/>
          <w:bCs/>
          <w:smallCaps/>
          <w:sz w:val="32"/>
          <w:szCs w:val="32"/>
        </w:rPr>
        <w:t>2014</w:t>
      </w:r>
      <w:r>
        <w:rPr>
          <w:rFonts w:eastAsia="楷体_GB2312"/>
          <w:bCs/>
          <w:smallCaps/>
          <w:sz w:val="32"/>
          <w:szCs w:val="32"/>
        </w:rPr>
        <w:t>年</w:t>
      </w:r>
      <w:r>
        <w:rPr>
          <w:rFonts w:eastAsia="楷体_GB2312"/>
          <w:bCs/>
          <w:smallCaps/>
          <w:sz w:val="32"/>
          <w:szCs w:val="32"/>
        </w:rPr>
        <w:t>10</w:t>
      </w:r>
      <w:r>
        <w:rPr>
          <w:rFonts w:eastAsia="楷体_GB2312"/>
          <w:bCs/>
          <w:smallCaps/>
          <w:sz w:val="32"/>
          <w:szCs w:val="32"/>
        </w:rPr>
        <w:t>月</w:t>
      </w:r>
      <w:r>
        <w:rPr>
          <w:rFonts w:eastAsia="楷体_GB2312"/>
          <w:bCs/>
          <w:smallCaps/>
          <w:sz w:val="32"/>
          <w:szCs w:val="32"/>
        </w:rPr>
        <w:t>29</w:t>
      </w:r>
      <w:r>
        <w:rPr>
          <w:rFonts w:eastAsia="楷体_GB2312"/>
          <w:bCs/>
          <w:smallCaps/>
          <w:sz w:val="32"/>
          <w:szCs w:val="32"/>
        </w:rPr>
        <w:t>日大同市第十四届人民代表大会常务委员会第二十次会议《关于修改〈大同市人民代表大会议事规则〉等十三件地方性法规的决定》修正</w:t>
      </w:r>
      <w:r>
        <w:rPr>
          <w:rFonts w:hint="eastAsia" w:eastAsia="楷体_GB2312"/>
          <w:bCs/>
          <w:smallCaps/>
          <w:sz w:val="32"/>
          <w:szCs w:val="32"/>
        </w:rPr>
        <w:t xml:space="preserve">  </w:t>
      </w:r>
      <w:r>
        <w:rPr>
          <w:rFonts w:eastAsia="楷体_GB2312"/>
          <w:bCs/>
          <w:smallCaps/>
          <w:sz w:val="32"/>
          <w:szCs w:val="32"/>
        </w:rPr>
        <w:t>2014</w:t>
      </w:r>
      <w:r>
        <w:rPr>
          <w:rFonts w:eastAsia="楷体_GB2312"/>
          <w:bCs/>
          <w:smallCaps/>
          <w:sz w:val="32"/>
          <w:szCs w:val="32"/>
        </w:rPr>
        <w:t>年</w:t>
      </w:r>
      <w:r>
        <w:rPr>
          <w:rFonts w:eastAsia="楷体_GB2312"/>
          <w:bCs/>
          <w:smallCaps/>
          <w:sz w:val="32"/>
          <w:szCs w:val="32"/>
        </w:rPr>
        <w:t>11</w:t>
      </w:r>
      <w:r>
        <w:rPr>
          <w:rFonts w:eastAsia="楷体_GB2312"/>
          <w:bCs/>
          <w:smallCaps/>
          <w:sz w:val="32"/>
          <w:szCs w:val="32"/>
        </w:rPr>
        <w:t>月</w:t>
      </w:r>
      <w:r>
        <w:rPr>
          <w:rFonts w:eastAsia="楷体_GB2312"/>
          <w:bCs/>
          <w:smallCaps/>
          <w:sz w:val="32"/>
          <w:szCs w:val="32"/>
        </w:rPr>
        <w:t>28</w:t>
      </w:r>
      <w:r>
        <w:rPr>
          <w:rFonts w:eastAsia="楷体_GB2312"/>
          <w:bCs/>
          <w:smallCaps/>
          <w:sz w:val="32"/>
          <w:szCs w:val="32"/>
        </w:rPr>
        <w:t>日山西省第十二届人民代表大会常务委员会第十六次会议批准</w:t>
      </w:r>
      <w:r>
        <w:rPr>
          <w:rFonts w:hint="eastAsia" w:eastAsia="楷体_GB2312"/>
          <w:bCs/>
          <w:smallCaps/>
          <w:sz w:val="32"/>
          <w:szCs w:val="32"/>
        </w:rPr>
        <w:t xml:space="preserve">    </w:t>
      </w:r>
      <w:r>
        <w:rPr>
          <w:rFonts w:eastAsia="楷体_GB2312"/>
          <w:sz w:val="32"/>
          <w:szCs w:val="32"/>
        </w:rPr>
        <w:t>根据</w:t>
      </w: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4</w:t>
      </w:r>
      <w:r>
        <w:rPr>
          <w:rFonts w:eastAsia="楷体_GB2312"/>
          <w:sz w:val="32"/>
          <w:szCs w:val="32"/>
        </w:rPr>
        <w:t>月</w:t>
      </w:r>
      <w:r>
        <w:rPr>
          <w:rFonts w:eastAsia="楷体_GB2312" w:hint="eastAsia"/>
          <w:sz w:val="32"/>
          <w:szCs w:val="32"/>
        </w:rPr>
        <w:t>25</w:t>
      </w:r>
      <w:r>
        <w:rPr>
          <w:rFonts w:eastAsia="楷体_GB2312"/>
          <w:sz w:val="32"/>
          <w:szCs w:val="32"/>
        </w:rPr>
        <w:t>日大同市第十五届人民代表大会常务委员会第二</w:t>
      </w:r>
      <w:r>
        <w:rPr>
          <w:rFonts w:hint="eastAsia" w:eastAsia="楷体_GB2312"/>
          <w:sz w:val="32"/>
          <w:szCs w:val="32"/>
        </w:rPr>
        <w:t>十三</w:t>
      </w:r>
      <w:r>
        <w:rPr>
          <w:rFonts w:eastAsia="楷体_GB2312"/>
          <w:sz w:val="32"/>
          <w:szCs w:val="32"/>
        </w:rPr>
        <w:t>次会议《关</w:t>
      </w:r>
      <w:r>
        <w:rPr>
          <w:rFonts w:eastAsia="楷体_GB2312"/>
          <w:spacing w:val="-6"/>
          <w:sz w:val="32"/>
          <w:szCs w:val="32"/>
        </w:rPr>
        <w:t>于修改〈大同市</w:t>
      </w:r>
      <w:r>
        <w:rPr>
          <w:rFonts w:hint="eastAsia" w:eastAsia="楷体_GB2312"/>
          <w:spacing w:val="-6"/>
          <w:sz w:val="32"/>
          <w:szCs w:val="32"/>
        </w:rPr>
        <w:t>体育市场管理办法</w:t>
      </w:r>
      <w:r>
        <w:rPr>
          <w:rFonts w:eastAsia="楷体_GB2312"/>
          <w:spacing w:val="-6"/>
          <w:sz w:val="32"/>
          <w:szCs w:val="32"/>
        </w:rPr>
        <w:t>〉等</w:t>
      </w:r>
      <w:r>
        <w:rPr>
          <w:rFonts w:hint="eastAsia" w:eastAsia="楷体_GB2312"/>
          <w:spacing w:val="-6"/>
          <w:sz w:val="32"/>
          <w:szCs w:val="32"/>
        </w:rPr>
        <w:t>二十七件</w:t>
      </w:r>
      <w:r>
        <w:rPr>
          <w:rFonts w:eastAsia="楷体_GB2312"/>
          <w:spacing w:val="-6"/>
          <w:sz w:val="32"/>
          <w:szCs w:val="32"/>
        </w:rPr>
        <w:t>法规的决定》修正</w:t>
      </w:r>
      <w:r>
        <w:rPr>
          <w:rFonts w:hint="eastAsia" w:eastAsia="楷体_GB2312"/>
          <w:spacing w:val="-4"/>
          <w:sz w:val="32"/>
          <w:szCs w:val="32"/>
        </w:rPr>
        <w:t xml:space="preserve">  </w:t>
      </w: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r>
        <w:rPr>
          <w:rFonts w:eastAsia="楷体_GB2312"/>
          <w:bCs/>
          <w:smallCaps/>
          <w:sz w:val="32"/>
          <w:szCs w:val="32"/>
        </w:rPr>
        <w:t>）</w:t>
      </w:r>
    </w:p>
    <w:p>
      <w:pPr>
        <w:pStyle w:val="Normal"/>
        <w:spacing w:lineRule="exact" w:line="578"/>
        <w:jc w:val="center"/>
        <w:rPr>
          <w:rFonts w:eastAsia="楷体_GB2312"/>
          <w:bCs/>
          <w:smallCaps/>
          <w:sz w:val="32"/>
          <w:szCs w:val="32"/>
        </w:rPr>
      </w:pPr>
      <w:r>
        <w:rPr>
          <w:rFonts w:eastAsia="楷体_GB2312"/>
          <w:bCs/>
          <w:smallCaps/>
          <w:sz w:val="32"/>
          <w:szCs w:val="32"/>
        </w:rPr>
      </w:r>
    </w:p>
    <w:p>
      <w:pPr>
        <w:pStyle w:val="Normal"/>
        <w:spacing w:lineRule="exact" w:line="578"/>
        <w:jc w:val="center"/>
        <w:rPr>
          <w:rFonts w:ascii="黑体" w:hAnsi="黑体" w:eastAsia="黑体" w:cs="黑体"/>
          <w:sz w:val="32"/>
          <w:szCs w:val="32"/>
        </w:rPr>
      </w:pPr>
      <w:r>
        <w:rPr>
          <w:rFonts w:ascii="黑体" w:hAnsi="黑体" w:cs="黑体" w:eastAsia="黑体"/>
          <w:sz w:val="32"/>
          <w:szCs w:val="32"/>
        </w:rPr>
        <w:t>目    录</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sz w:val="32"/>
          <w:szCs w:val="32"/>
        </w:rPr>
      </w:pPr>
      <w:r>
        <w:rPr>
          <w:rFonts w:eastAsia="楷体_GB2312" w:cs="Times New Roman" w:hint="eastAsia" w:ascii="Times New Roman" w:hAnsi="Times New Roman"/>
          <w:b w:val="false"/>
          <w:sz w:val="32"/>
          <w:szCs w:val="32"/>
        </w:rPr>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b w:val="false"/>
        </w:rPr>
      </w:pPr>
      <w:r>
        <w:rPr>
          <w:rFonts w:ascii="Times New Roman" w:hAnsi="Times New Roman" w:cs="Times New Roman" w:eastAsia="楷体_GB2312"/>
          <w:b w:val="false"/>
        </w:rPr>
        <w:t>第一章  总 则</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第二章  </w:t>
      </w:r>
      <w:r>
        <w:rPr>
          <w:rFonts w:ascii="Times New Roman" w:hAnsi="Times New Roman" w:cs="Times New Roman" w:hint="eastAsia" w:eastAsia="楷体_GB2312"/>
          <w:b w:val="false"/>
        </w:rPr>
        <w:t>煤炭资源规划</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第三章  </w:t>
      </w:r>
      <w:r>
        <w:rPr>
          <w:rFonts w:ascii="Times New Roman" w:hAnsi="Times New Roman" w:cs="Times New Roman" w:hint="eastAsia" w:eastAsia="楷体_GB2312"/>
          <w:b w:val="false"/>
        </w:rPr>
        <w:t>优质煤、特种煤保护和综合利用</w:t>
      </w:r>
    </w:p>
    <w:p>
      <w:pPr>
        <w:pStyle w:val="Normal"/>
        <w:snapToGrid w:val="false"/>
        <w:spacing w:lineRule="exact" w:line="578"/>
        <w:ind w:firstLineChars="200" w:startChars="0" w:start="0" w:endChars="0" w:end="0"/>
        <w:rPr>
          <w:rStyle w:val="CharChar1"/>
          <w:rFonts w:eastAsia="楷体_GB2312" w:hint="eastAsia"/>
          <w:b w:val="false"/>
        </w:rPr>
      </w:pPr>
      <w:r>
        <w:rPr>
          <w:rStyle w:val="CharChar1"/>
          <w:rFonts w:eastAsia="楷体_GB2312"/>
          <w:b w:val="false"/>
        </w:rPr>
        <w:t xml:space="preserve">第四章  </w:t>
      </w:r>
      <w:r>
        <w:rPr>
          <w:rStyle w:val="CharChar1"/>
          <w:rFonts w:hint="eastAsia" w:eastAsia="楷体_GB2312"/>
          <w:b w:val="false"/>
        </w:rPr>
        <w:t>煤炭资源储量管理</w:t>
      </w:r>
    </w:p>
    <w:p>
      <w:pPr>
        <w:pStyle w:val="Heading2"/>
        <w:keepNext w:val="false"/>
        <w:keepLines w:val="false"/>
        <w:spacing w:lineRule="exact" w:line="578" w:before="0" w:after="0"/>
        <w:ind w:firstLineChars="200" w:startChars="0" w:start="0" w:endChars="0" w:end="0"/>
        <w:rPr>
          <w:rStyle w:val="CharChar1"/>
          <w:rFonts w:eastAsia="楷体_GB2312" w:cs="Times New Roman" w:hint="eastAsia"/>
          <w:b w:val="false"/>
        </w:rPr>
      </w:pPr>
      <w:r>
        <w:rPr>
          <w:rStyle w:val="CharChar1"/>
          <w:rFonts w:cs="Times New Roman" w:hint="eastAsia" w:eastAsia="楷体_GB2312"/>
          <w:b w:val="false"/>
          <w:bCs/>
        </w:rPr>
        <w:t>第五章  监督管理</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b w:val="false"/>
        </w:rPr>
      </w:pPr>
      <w:r>
        <w:rPr>
          <w:rStyle w:val="CharChar1"/>
          <w:rFonts w:cs="Times New Roman" w:eastAsia="楷体_GB2312"/>
          <w:b w:val="false"/>
          <w:bCs/>
        </w:rPr>
        <w:t>第</w:t>
      </w:r>
      <w:r>
        <w:rPr>
          <w:rStyle w:val="CharChar1"/>
          <w:rFonts w:cs="Times New Roman" w:hint="eastAsia" w:eastAsia="楷体_GB2312"/>
          <w:b w:val="false"/>
          <w:bCs/>
        </w:rPr>
        <w:t>六</w:t>
      </w:r>
      <w:r>
        <w:rPr>
          <w:rStyle w:val="CharChar1"/>
          <w:rFonts w:cs="Times New Roman" w:eastAsia="楷体_GB2312"/>
          <w:b w:val="false"/>
          <w:bCs/>
        </w:rPr>
        <w:t>章  法律责任</w:t>
      </w:r>
    </w:p>
    <w:p>
      <w:pPr>
        <w:pStyle w:val="Heading2"/>
        <w:keepNext w:val="false"/>
        <w:keepLines w:val="false"/>
        <w:spacing w:lineRule="exact" w:line="578" w:before="0" w:after="0"/>
        <w:ind w:firstLineChars="200" w:startChars="0" w:start="0" w:endChars="0" w:end="0"/>
        <w:rPr>
          <w:rStyle w:val="CharChar1"/>
          <w:rFonts w:eastAsia="楷体_GB2312" w:cs="Times New Roman"/>
          <w:b w:val="false"/>
        </w:rPr>
      </w:pPr>
      <w:r>
        <w:rPr>
          <w:rStyle w:val="CharChar1"/>
          <w:rFonts w:cs="Times New Roman" w:eastAsia="楷体_GB2312"/>
          <w:b w:val="false"/>
          <w:bCs/>
        </w:rPr>
        <w:t>第</w:t>
      </w:r>
      <w:r>
        <w:rPr>
          <w:rStyle w:val="CharChar1"/>
          <w:rFonts w:cs="Times New Roman" w:hint="eastAsia" w:eastAsia="楷体_GB2312"/>
          <w:b w:val="false"/>
          <w:bCs/>
        </w:rPr>
        <w:t>七</w:t>
      </w:r>
      <w:r>
        <w:rPr>
          <w:rStyle w:val="CharChar1"/>
          <w:rFonts w:cs="Times New Roman" w:eastAsia="楷体_GB2312"/>
          <w:b w:val="false"/>
          <w:bCs/>
        </w:rPr>
        <w:t>章  附 则</w:t>
      </w:r>
    </w:p>
    <w:p>
      <w:pPr>
        <w:pStyle w:val="Normal"/>
        <w:widowControl w:val="false"/>
        <w:spacing w:lineRule="exact" w:line="578"/>
        <w:jc w:val="center"/>
        <w:textAlignment w:val="auto"/>
        <w:rPr>
          <w:rStyle w:val="CharChar1"/>
          <w:rFonts w:eastAsia="黑体" w:cs="Times New Roman" w:hint="eastAsia"/>
          <w:b/>
          <w:sz w:val="31"/>
        </w:rPr>
      </w:pPr>
      <w:r>
        <w:rPr/>
      </w:r>
    </w:p>
    <w:p>
      <w:pPr>
        <w:pStyle w:val="Normal"/>
        <w:widowControl w:val="false"/>
        <w:spacing w:lineRule="exact" w:line="578"/>
        <w:jc w:val="center"/>
        <w:textAlignment w:val="auto"/>
        <w:rPr>
          <w:rFonts w:eastAsia="黑体"/>
        </w:rPr>
      </w:pPr>
      <w:r>
        <w:rPr>
          <w:rFonts w:eastAsia="黑体"/>
          <w:sz w:val="31"/>
        </w:rPr>
        <w:t>第一章</w:t>
      </w:r>
      <w:r>
        <w:rPr>
          <w:rFonts w:hint="eastAsia" w:eastAsia="黑体"/>
          <w:sz w:val="31"/>
        </w:rPr>
        <w:t xml:space="preserve">  </w:t>
      </w:r>
      <w:r>
        <w:rPr>
          <w:rFonts w:eastAsia="黑体"/>
          <w:sz w:val="31"/>
        </w:rPr>
        <w:t>总</w:t>
      </w:r>
      <w:r>
        <w:rPr>
          <w:rFonts w:hint="eastAsia" w:eastAsia="黑体"/>
          <w:sz w:val="31"/>
        </w:rPr>
        <w:t xml:space="preserve">  </w:t>
      </w:r>
      <w:r>
        <w:rPr>
          <w:rFonts w:eastAsia="黑体"/>
          <w:sz w:val="31"/>
        </w:rPr>
        <w:t>则</w:t>
      </w:r>
    </w:p>
    <w:p>
      <w:pPr>
        <w:pStyle w:val="Normal"/>
        <w:widowControl w:val="false"/>
        <w:spacing w:lineRule="exact" w:line="578"/>
        <w:textAlignment w:val="auto"/>
        <w:rPr>
          <w:rFonts w:eastAsia="仿宋_GB2312"/>
        </w:rPr>
      </w:pPr>
      <w:r>
        <w:rPr>
          <w:rFonts w:eastAsia="仿宋_GB2312"/>
          <w:sz w:val="31"/>
        </w:rPr>
        <w:t xml:space="preserve">        </w:t>
      </w:r>
    </w:p>
    <w:p>
      <w:pPr>
        <w:pStyle w:val="Normal"/>
        <w:widowControl w:val="false"/>
        <w:spacing w:lineRule="exact" w:line="578"/>
        <w:ind w:firstLineChars="200" w:startChars="0" w:start="0" w:endChars="0" w:end="0"/>
        <w:textAlignment w:val="auto"/>
        <w:rPr>
          <w:rFonts w:eastAsia="仿宋_GB2312"/>
          <w:spacing w:val="-4"/>
          <w:sz w:val="32"/>
          <w:szCs w:val="32"/>
        </w:rPr>
      </w:pPr>
      <w:r>
        <w:rPr>
          <w:rFonts w:eastAsia="黑体"/>
          <w:sz w:val="32"/>
          <w:szCs w:val="32"/>
        </w:rPr>
        <w:t>第一条</w:t>
      </w:r>
      <w:r>
        <w:rPr>
          <w:rFonts w:eastAsia="仿宋_GB2312"/>
          <w:b/>
          <w:sz w:val="32"/>
          <w:szCs w:val="32"/>
        </w:rPr>
        <w:t xml:space="preserve"> </w:t>
      </w:r>
      <w:r>
        <w:rPr>
          <w:rFonts w:eastAsia="仿宋_GB2312"/>
          <w:sz w:val="32"/>
          <w:szCs w:val="32"/>
        </w:rPr>
        <w:t xml:space="preserve"> 为了充分发挥本市煤炭资源优势，保护和合理开发利用煤炭资源，根据《中华人民共和国矿产资源法》《中华人民共和国煤炭法》《山西省矿产资源管理条例》《山西省煤</w:t>
      </w:r>
      <w:r>
        <w:rPr>
          <w:rFonts w:eastAsia="仿宋_GB2312"/>
          <w:spacing w:val="-4"/>
          <w:sz w:val="32"/>
          <w:szCs w:val="32"/>
        </w:rPr>
        <w:t>炭管理条例》等法律、法规的规定，结合本市实际，制定本办法。</w:t>
      </w:r>
    </w:p>
    <w:p>
      <w:pPr>
        <w:pStyle w:val="Normal"/>
        <w:widowControl w:val="false"/>
        <w:spacing w:lineRule="exact" w:line="578"/>
        <w:ind w:firstLineChars="200" w:startChars="0" w:start="0" w:endChars="0" w:end="0"/>
        <w:textAlignment w:val="auto"/>
        <w:rPr>
          <w:rFonts w:eastAsia="仿宋_GB2312"/>
          <w:sz w:val="32"/>
          <w:szCs w:val="32"/>
        </w:rPr>
      </w:pPr>
      <w:r>
        <w:rPr>
          <w:rFonts w:eastAsia="黑体"/>
          <w:sz w:val="32"/>
          <w:szCs w:val="32"/>
        </w:rPr>
        <w:t>第二条</w:t>
      </w:r>
      <w:r>
        <w:rPr>
          <w:rFonts w:eastAsia="仿宋_GB2312"/>
          <w:b/>
          <w:sz w:val="32"/>
          <w:szCs w:val="32"/>
        </w:rPr>
        <w:t xml:space="preserve"> </w:t>
      </w:r>
      <w:r>
        <w:rPr>
          <w:rFonts w:eastAsia="仿宋_GB2312"/>
          <w:sz w:val="32"/>
          <w:szCs w:val="32"/>
        </w:rPr>
        <w:t xml:space="preserve"> 在本市行政区域内从事煤炭资源勘查、开发利用和保护及其监督管理的单位和个人，应当遵守本办法。</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第三条</w:t>
      </w:r>
      <w:r>
        <w:rPr>
          <w:rFonts w:eastAsia="仿宋_GB2312"/>
          <w:b/>
          <w:sz w:val="32"/>
          <w:szCs w:val="32"/>
        </w:rPr>
        <w:t xml:space="preserve"> </w:t>
      </w:r>
      <w:r>
        <w:rPr>
          <w:rFonts w:eastAsia="仿宋_GB2312"/>
          <w:sz w:val="32"/>
          <w:szCs w:val="32"/>
        </w:rPr>
        <w:t xml:space="preserve"> 煤炭资源属于国家所有，不因其所依附的土地所有权或者使用权的不同而改变。</w:t>
      </w:r>
    </w:p>
    <w:p>
      <w:pPr>
        <w:pStyle w:val="Normal"/>
        <w:widowControl w:val="false"/>
        <w:spacing w:lineRule="exact" w:line="578"/>
        <w:ind w:firstLineChars="200" w:startChars="0" w:start="0" w:endChars="0" w:end="0"/>
        <w:textAlignment w:val="auto"/>
        <w:rPr>
          <w:rFonts w:eastAsia="仿宋_GB2312"/>
          <w:sz w:val="32"/>
          <w:szCs w:val="32"/>
        </w:rPr>
      </w:pPr>
      <w:r>
        <w:rPr>
          <w:rFonts w:eastAsia="仿宋_GB2312"/>
          <w:sz w:val="32"/>
          <w:szCs w:val="32"/>
        </w:rPr>
        <w:t>市、县（区）人民政府应当加强对本行政区域内煤炭资源的保护。禁止任何组织和个人侵占、破坏煤炭资源。</w:t>
      </w:r>
    </w:p>
    <w:p>
      <w:pPr>
        <w:pStyle w:val="Normal"/>
        <w:widowControl w:val="false"/>
        <w:spacing w:lineRule="exact" w:line="578"/>
        <w:ind w:firstLineChars="200" w:startChars="0" w:start="0" w:endChars="0" w:end="0"/>
        <w:textAlignment w:val="auto"/>
        <w:rPr>
          <w:rFonts w:eastAsia="仿宋_GB2312"/>
          <w:sz w:val="32"/>
          <w:szCs w:val="32"/>
        </w:rPr>
      </w:pPr>
      <w:r>
        <w:rPr>
          <w:rFonts w:eastAsia="黑体"/>
          <w:sz w:val="32"/>
          <w:szCs w:val="32"/>
        </w:rPr>
        <w:t>第四条</w:t>
      </w:r>
      <w:r>
        <w:rPr>
          <w:rFonts w:eastAsia="仿宋_GB2312"/>
          <w:sz w:val="32"/>
          <w:szCs w:val="32"/>
        </w:rPr>
        <w:t xml:space="preserve">  开发利用煤炭资源实行统一规划、合理布局、综合勘查、合理开采、综合利用和有效保护的方针。</w:t>
      </w:r>
    </w:p>
    <w:p>
      <w:pPr>
        <w:pStyle w:val="Normal"/>
        <w:widowControl w:val="false"/>
        <w:spacing w:lineRule="exact" w:line="578"/>
        <w:ind w:firstLineChars="200" w:startChars="0" w:start="0" w:endChars="0" w:end="0"/>
        <w:textAlignment w:val="auto"/>
        <w:rPr>
          <w:rFonts w:eastAsia="仿宋_GB2312"/>
          <w:sz w:val="32"/>
          <w:szCs w:val="32"/>
        </w:rPr>
      </w:pPr>
      <w:r>
        <w:rPr>
          <w:rFonts w:eastAsia="仿宋_GB2312"/>
          <w:sz w:val="32"/>
          <w:szCs w:val="32"/>
        </w:rPr>
        <w:t>开发利用煤炭资源，应当保护生态环境，防止污染，防止地质灾害和其他公害。</w:t>
      </w:r>
    </w:p>
    <w:p>
      <w:pPr>
        <w:pStyle w:val="Normal"/>
        <w:widowControl w:val="false"/>
        <w:spacing w:lineRule="exact" w:line="578"/>
        <w:ind w:firstLineChars="200" w:startChars="0" w:start="0" w:endChars="0" w:end="0"/>
        <w:textAlignment w:val="auto"/>
        <w:rPr>
          <w:rFonts w:eastAsia="仿宋_GB2312"/>
          <w:sz w:val="32"/>
          <w:szCs w:val="32"/>
        </w:rPr>
      </w:pPr>
      <w:r>
        <w:rPr>
          <w:rFonts w:eastAsia="仿宋_GB2312"/>
          <w:sz w:val="32"/>
          <w:szCs w:val="32"/>
        </w:rPr>
        <w:t>煤炭资源开发利用和保护应当纳入市国民经济和社会发展规划。</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第五条</w:t>
      </w:r>
      <w:r>
        <w:rPr>
          <w:rFonts w:eastAsia="仿宋_GB2312"/>
          <w:b/>
          <w:sz w:val="32"/>
          <w:szCs w:val="32"/>
        </w:rPr>
        <w:t xml:space="preserve">  </w:t>
      </w:r>
      <w:r>
        <w:rPr>
          <w:rFonts w:eastAsia="仿宋_GB2312"/>
          <w:sz w:val="32"/>
          <w:szCs w:val="32"/>
        </w:rPr>
        <w:t>市、县（区）规划和自然资源主管部门负责本行政区域内煤炭资源勘查、开发利用和保护的监督管理。</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市、县（区）有关主管部门按照各自的职责负责煤炭资源开发利用和保护的监督管理。</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市人民政府可以根据工作需要指定县（区）规划和自然资源主管部门负责非本县（区）行政区域内的煤炭资源开发利用和保护的监督管理。</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第六条</w:t>
      </w:r>
      <w:r>
        <w:rPr>
          <w:rFonts w:eastAsia="仿宋_GB2312"/>
          <w:sz w:val="32"/>
          <w:szCs w:val="32"/>
        </w:rPr>
        <w:t xml:space="preserve">  市、县（区）规划和自然资源主管部门对违法采矿行为的行政处罚</w:t>
      </w:r>
      <w:r>
        <w:rPr>
          <w:rFonts w:hint="eastAsia" w:eastAsia="仿宋_GB2312"/>
          <w:sz w:val="32"/>
          <w:szCs w:val="32"/>
        </w:rPr>
        <w:t>，</w:t>
      </w:r>
      <w:r>
        <w:rPr>
          <w:rFonts w:eastAsia="仿宋_GB2312"/>
          <w:sz w:val="32"/>
          <w:szCs w:val="32"/>
        </w:rPr>
        <w:t>可以依法委托符合法定条件的组织实施。</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第七条</w:t>
      </w:r>
      <w:r>
        <w:rPr>
          <w:rFonts w:eastAsia="仿宋_GB2312"/>
          <w:b/>
          <w:sz w:val="32"/>
          <w:szCs w:val="32"/>
        </w:rPr>
        <w:t xml:space="preserve"> </w:t>
      </w:r>
      <w:r>
        <w:rPr>
          <w:rFonts w:eastAsia="仿宋_GB2312"/>
          <w:sz w:val="32"/>
          <w:szCs w:val="32"/>
        </w:rPr>
        <w:t xml:space="preserve"> 鼓励煤炭资源开发利用和保护的科学研究，推广应用新技术、新工艺，提高资源利用率。</w:t>
      </w:r>
    </w:p>
    <w:p>
      <w:pPr>
        <w:pStyle w:val="Normal"/>
        <w:widowControl w:val="false"/>
        <w:spacing w:lineRule="exact" w:line="578"/>
        <w:textAlignment w:val="auto"/>
        <w:rPr>
          <w:rFonts w:eastAsia="仿宋_GB2312"/>
          <w:spacing w:val="-10"/>
          <w:sz w:val="32"/>
          <w:szCs w:val="32"/>
        </w:rPr>
      </w:pPr>
      <w:r>
        <w:rPr>
          <w:rFonts w:eastAsia="仿宋_GB2312"/>
          <w:sz w:val="32"/>
          <w:szCs w:val="32"/>
        </w:rPr>
        <w:t xml:space="preserve">    </w:t>
      </w:r>
      <w:r>
        <w:rPr>
          <w:rFonts w:eastAsia="黑体"/>
          <w:sz w:val="32"/>
          <w:szCs w:val="32"/>
        </w:rPr>
        <w:t>第八条</w:t>
      </w:r>
      <w:r>
        <w:rPr>
          <w:rFonts w:eastAsia="仿宋_GB2312"/>
          <w:sz w:val="32"/>
          <w:szCs w:val="32"/>
        </w:rPr>
        <w:t xml:space="preserve"> </w:t>
      </w:r>
      <w:r>
        <w:rPr>
          <w:rFonts w:eastAsia="仿宋_GB2312"/>
          <w:spacing w:val="-10"/>
          <w:sz w:val="32"/>
          <w:szCs w:val="32"/>
        </w:rPr>
        <w:t xml:space="preserve"> 鼓励煤炭矿山企业通过资产重组，合并相邻的井田、已关闭的煤炭矿山企业剩余资源和大型煤炭矿山企业机械化作业无法开采的边角、零星资源，实现资源整合、集约利用、规模化生产。</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 xml:space="preserve"> </w:t>
      </w:r>
      <w:r>
        <w:rPr>
          <w:rFonts w:eastAsia="黑体"/>
          <w:sz w:val="32"/>
          <w:szCs w:val="32"/>
        </w:rPr>
        <w:t>第九条</w:t>
      </w:r>
      <w:r>
        <w:rPr>
          <w:rFonts w:eastAsia="仿宋_GB2312"/>
          <w:sz w:val="32"/>
          <w:szCs w:val="32"/>
        </w:rPr>
        <w:t xml:space="preserve">  市、县（区）人民政府应当对在勘查、开发利用和保护煤炭资源方面成绩显著的单位和个人给予奖励。</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p>
    <w:p>
      <w:pPr>
        <w:pStyle w:val="Normal"/>
        <w:widowControl w:val="false"/>
        <w:spacing w:lineRule="exact" w:line="578"/>
        <w:jc w:val="center"/>
        <w:textAlignment w:val="auto"/>
        <w:rPr>
          <w:rFonts w:eastAsia="黑体"/>
          <w:sz w:val="32"/>
          <w:szCs w:val="32"/>
        </w:rPr>
      </w:pPr>
      <w:r>
        <w:rPr>
          <w:rFonts w:eastAsia="黑体"/>
          <w:sz w:val="32"/>
          <w:szCs w:val="32"/>
        </w:rPr>
        <w:t>第二章</w:t>
      </w:r>
      <w:r>
        <w:rPr>
          <w:rFonts w:hint="eastAsia" w:eastAsia="黑体"/>
          <w:sz w:val="32"/>
          <w:szCs w:val="32"/>
        </w:rPr>
        <w:t xml:space="preserve">  </w:t>
      </w:r>
      <w:r>
        <w:rPr>
          <w:rFonts w:eastAsia="黑体"/>
          <w:sz w:val="32"/>
          <w:szCs w:val="32"/>
        </w:rPr>
        <w:t>煤炭资源规划</w:t>
      </w:r>
    </w:p>
    <w:p>
      <w:pPr>
        <w:pStyle w:val="Normal"/>
        <w:widowControl w:val="false"/>
        <w:spacing w:lineRule="exact" w:line="578"/>
        <w:textAlignment w:val="auto"/>
        <w:rPr>
          <w:rFonts w:eastAsia="仿宋_GB2312"/>
          <w:sz w:val="32"/>
          <w:szCs w:val="32"/>
        </w:rPr>
      </w:pPr>
      <w:r>
        <w:rPr>
          <w:rFonts w:eastAsia="仿宋_GB2312"/>
          <w:b/>
          <w:sz w:val="32"/>
          <w:szCs w:val="32"/>
        </w:rPr>
        <w:t xml:space="preserve">        </w:t>
      </w:r>
    </w:p>
    <w:p>
      <w:pPr>
        <w:pStyle w:val="Normal"/>
        <w:widowControl w:val="false"/>
        <w:spacing w:lineRule="exact" w:line="578"/>
        <w:textAlignment w:val="auto"/>
        <w:rPr>
          <w:rFonts w:eastAsia="仿宋_GB2312" w:hint="eastAsia"/>
          <w:sz w:val="32"/>
          <w:szCs w:val="32"/>
        </w:rPr>
      </w:pPr>
      <w:r>
        <w:rPr>
          <w:rFonts w:eastAsia="仿宋_GB2312"/>
          <w:sz w:val="32"/>
          <w:szCs w:val="32"/>
        </w:rPr>
        <w:t xml:space="preserve">    </w:t>
      </w:r>
      <w:r>
        <w:rPr>
          <w:rFonts w:eastAsia="黑体"/>
          <w:sz w:val="32"/>
          <w:szCs w:val="32"/>
        </w:rPr>
        <w:t>第十条</w:t>
      </w:r>
      <w:r>
        <w:rPr>
          <w:rFonts w:eastAsia="仿宋_GB2312"/>
          <w:b/>
          <w:sz w:val="32"/>
          <w:szCs w:val="32"/>
        </w:rPr>
        <w:t xml:space="preserve"> </w:t>
      </w:r>
      <w:r>
        <w:rPr>
          <w:rFonts w:eastAsia="仿宋_GB2312"/>
          <w:sz w:val="32"/>
          <w:szCs w:val="32"/>
        </w:rPr>
        <w:t xml:space="preserve"> 市规划和自然资源主管部门根据省、市矿产资源规划，组织编制本市煤炭资源专项规划，经市人民政府同意，报省规划和自然资源主管部门批准后实施</w:t>
      </w:r>
      <w:r>
        <w:rPr>
          <w:rFonts w:hint="eastAsia" w:eastAsia="仿宋_GB2312"/>
          <w:sz w:val="32"/>
          <w:szCs w:val="32"/>
        </w:rPr>
        <w:t>。</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 xml:space="preserve">市能源主管部门根据省煤炭生产开发规划和市矿产资源规划、煤炭资源专项规划，组织编制本市煤炭生产开发规划，经市人民政府同意，报省能源主管部门批准后实施。 </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县（区）规划和自然资源主管部门和能源主管部门可以根据县（区）矿产资源规划组织编制本行政区的煤炭资源专项规划和煤炭生产开发规划，逐级上报省级主管部门批准后实施。</w:t>
      </w:r>
      <w:r>
        <w:rPr>
          <w:rFonts w:eastAsia="仿宋_GB2312"/>
          <w:b/>
          <w:sz w:val="32"/>
          <w:szCs w:val="32"/>
        </w:rPr>
        <w:t xml:space="preserve"> </w:t>
      </w:r>
    </w:p>
    <w:p>
      <w:pPr>
        <w:pStyle w:val="Normal"/>
        <w:widowControl w:val="false"/>
        <w:spacing w:lineRule="exact" w:line="578"/>
        <w:textAlignment w:val="auto"/>
        <w:rPr>
          <w:rFonts w:eastAsia="仿宋_GB2312"/>
          <w:sz w:val="32"/>
          <w:szCs w:val="32"/>
        </w:rPr>
      </w:pPr>
      <w:r>
        <w:rPr>
          <w:rFonts w:eastAsia="仿宋_GB2312"/>
          <w:b/>
          <w:sz w:val="32"/>
          <w:szCs w:val="32"/>
        </w:rPr>
        <w:t xml:space="preserve">    </w:t>
      </w:r>
      <w:r>
        <w:rPr>
          <w:rFonts w:eastAsia="黑体"/>
          <w:sz w:val="32"/>
          <w:szCs w:val="32"/>
        </w:rPr>
        <w:t>第十一条</w:t>
      </w:r>
      <w:r>
        <w:rPr>
          <w:rFonts w:eastAsia="仿宋_GB2312"/>
          <w:b/>
          <w:sz w:val="32"/>
          <w:szCs w:val="32"/>
        </w:rPr>
        <w:t xml:space="preserve">  </w:t>
      </w:r>
      <w:r>
        <w:rPr>
          <w:rFonts w:eastAsia="仿宋_GB2312"/>
          <w:sz w:val="32"/>
          <w:szCs w:val="32"/>
        </w:rPr>
        <w:t>编制煤炭资源专项规划应当坚持开发与保护并重的原则，正确处理煤炭资源开发利用与经济发展、其他自然资源利用和生态环境保护的关系，合理控制煤炭开发总量，优化结构，提高资源利用水平。</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编制煤炭资源专项规划应当根据国民经济和社会发展规划以及当地的自然环境和资源条件进行科学论证。</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煤炭资源专项规划应当与土地利用、环境保护、水土保持、森林保护、城乡建设、旅游开发、水资源开发、地质灾害防治等规划相衔接。</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第十二条</w:t>
      </w:r>
      <w:r>
        <w:rPr>
          <w:rFonts w:eastAsia="仿宋_GB2312"/>
          <w:b/>
          <w:sz w:val="32"/>
          <w:szCs w:val="32"/>
        </w:rPr>
        <w:t xml:space="preserve">  </w:t>
      </w:r>
      <w:r>
        <w:rPr>
          <w:rFonts w:eastAsia="仿宋_GB2312"/>
          <w:sz w:val="32"/>
          <w:szCs w:val="32"/>
        </w:rPr>
        <w:t>煤炭资源专项规划和煤炭生产开发规划经依法批准后，应当严格执行，不得擅自修改；确需修改的，应当按照原报批程序批准。</w:t>
      </w:r>
    </w:p>
    <w:p>
      <w:pPr>
        <w:pStyle w:val="Normal"/>
        <w:widowControl w:val="false"/>
        <w:spacing w:lineRule="exact" w:line="578"/>
        <w:textAlignment w:val="auto"/>
        <w:rPr>
          <w:rFonts w:eastAsia="仿宋_GB2312"/>
          <w:sz w:val="32"/>
          <w:szCs w:val="32"/>
        </w:rPr>
      </w:pPr>
      <w:r>
        <w:rPr>
          <w:rFonts w:eastAsia="仿宋_GB2312"/>
          <w:b/>
          <w:sz w:val="32"/>
          <w:szCs w:val="32"/>
        </w:rPr>
        <w:t xml:space="preserve">       </w:t>
      </w:r>
    </w:p>
    <w:p>
      <w:pPr>
        <w:pStyle w:val="Normal"/>
        <w:widowControl w:val="false"/>
        <w:spacing w:lineRule="exact" w:line="578"/>
        <w:jc w:val="center"/>
        <w:textAlignment w:val="auto"/>
        <w:rPr>
          <w:rFonts w:eastAsia="黑体"/>
          <w:sz w:val="32"/>
          <w:szCs w:val="32"/>
        </w:rPr>
      </w:pPr>
      <w:r>
        <w:rPr>
          <w:rFonts w:eastAsia="黑体"/>
          <w:sz w:val="32"/>
          <w:szCs w:val="32"/>
        </w:rPr>
        <w:t>第三章</w:t>
      </w:r>
      <w:r>
        <w:rPr>
          <w:rFonts w:hint="eastAsia" w:eastAsia="黑体"/>
          <w:sz w:val="32"/>
          <w:szCs w:val="32"/>
        </w:rPr>
        <w:t xml:space="preserve">  </w:t>
      </w:r>
      <w:r>
        <w:rPr>
          <w:rFonts w:eastAsia="黑体"/>
          <w:sz w:val="32"/>
          <w:szCs w:val="32"/>
        </w:rPr>
        <w:t>优质煤、特种煤保护和综合利用</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第十三条</w:t>
      </w:r>
      <w:r>
        <w:rPr>
          <w:rFonts w:eastAsia="仿宋_GB2312"/>
          <w:b/>
          <w:sz w:val="32"/>
          <w:szCs w:val="32"/>
        </w:rPr>
        <w:t xml:space="preserve"> </w:t>
      </w:r>
      <w:r>
        <w:rPr>
          <w:rFonts w:eastAsia="仿宋_GB2312"/>
          <w:sz w:val="32"/>
          <w:szCs w:val="32"/>
        </w:rPr>
        <w:t xml:space="preserve"> 对具有重要价值的原料煤以及含镓、锗元素伴生煤等特殊煤种或者稀缺煤种，应当依法实行保护性开采。 </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第十四条</w:t>
      </w:r>
      <w:r>
        <w:rPr>
          <w:rFonts w:eastAsia="仿宋_GB2312"/>
          <w:b/>
          <w:sz w:val="32"/>
          <w:szCs w:val="32"/>
        </w:rPr>
        <w:t xml:space="preserve"> </w:t>
      </w:r>
      <w:r>
        <w:rPr>
          <w:rFonts w:eastAsia="仿宋_GB2312"/>
          <w:sz w:val="32"/>
          <w:szCs w:val="32"/>
        </w:rPr>
        <w:t xml:space="preserve"> 对与煤炭资源共生 、伴生的高岭岩 、煤矸石、煤泥、煤层气和矿井水等矿产资源， 煤炭矿山企业应当综合回收利用或者采取保护措施。</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第十五条</w:t>
      </w:r>
      <w:r>
        <w:rPr>
          <w:rFonts w:eastAsia="仿宋_GB2312"/>
          <w:b/>
          <w:sz w:val="32"/>
          <w:szCs w:val="32"/>
        </w:rPr>
        <w:t xml:space="preserve">  </w:t>
      </w:r>
      <w:r>
        <w:rPr>
          <w:rFonts w:eastAsia="仿宋_GB2312"/>
          <w:sz w:val="32"/>
          <w:szCs w:val="32"/>
        </w:rPr>
        <w:t>开采配焦煤、优质动力煤的，在采矿权审批划定矿区范围时，应当经市人民政府审核后，按照规定程序报批。</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第十六条</w:t>
      </w:r>
      <w:r>
        <w:rPr>
          <w:rFonts w:eastAsia="仿宋_GB2312"/>
          <w:sz w:val="32"/>
          <w:szCs w:val="32"/>
        </w:rPr>
        <w:t xml:space="preserve">  煤炭矿山企业应当在不超过核定生产能力的前提下，根据市场需求调整特殊、稀缺煤种和配焦煤、优质动力煤的产量，保障优煤优价。</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煤炭矿山企业和经营企业不得在特殊、稀缺煤种和配焦煤、优质动力煤产品中掺杂掺假、以次充好。</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b/>
          <w:sz w:val="32"/>
          <w:szCs w:val="32"/>
        </w:rPr>
        <w:t xml:space="preserve"> </w:t>
      </w:r>
    </w:p>
    <w:p>
      <w:pPr>
        <w:pStyle w:val="Normal"/>
        <w:widowControl w:val="false"/>
        <w:spacing w:lineRule="exact" w:line="578"/>
        <w:jc w:val="center"/>
        <w:textAlignment w:val="auto"/>
        <w:rPr>
          <w:rFonts w:eastAsia="黑体"/>
          <w:sz w:val="32"/>
          <w:szCs w:val="32"/>
        </w:rPr>
      </w:pPr>
      <w:r>
        <w:rPr>
          <w:rFonts w:eastAsia="黑体"/>
          <w:sz w:val="32"/>
          <w:szCs w:val="32"/>
        </w:rPr>
        <w:t>第四章</w:t>
      </w:r>
      <w:r>
        <w:rPr>
          <w:rFonts w:hint="eastAsia" w:eastAsia="黑体"/>
          <w:sz w:val="32"/>
          <w:szCs w:val="32"/>
        </w:rPr>
        <w:t xml:space="preserve">  </w:t>
      </w:r>
      <w:r>
        <w:rPr>
          <w:rFonts w:eastAsia="黑体"/>
          <w:sz w:val="32"/>
          <w:szCs w:val="32"/>
        </w:rPr>
        <w:t>煤炭资源储量管理</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第十七条</w:t>
      </w:r>
      <w:r>
        <w:rPr>
          <w:rFonts w:eastAsia="仿宋_GB2312"/>
          <w:sz w:val="32"/>
          <w:szCs w:val="32"/>
        </w:rPr>
        <w:t xml:space="preserve">  煤炭资源储量实行统一登记、统计和核销制度。市、县（区）规划和自然资源主管部门应当对煤炭矿山企业占用的储量进行动态监督管理、登记和统计，建立台账；审核煤炭矿山企业报销储量的申请，报省规划和自然资源主管部门批准核销。</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第十八条</w:t>
      </w:r>
      <w:r>
        <w:rPr>
          <w:rFonts w:eastAsia="仿宋_GB2312"/>
          <w:sz w:val="32"/>
          <w:szCs w:val="32"/>
        </w:rPr>
        <w:t xml:space="preserve">  煤炭矿山企业应当于每季度前十日内向市、县（区）规划和自然资源主管部门报送上一季度的矿井井上、井下工程对照图和采掘工程平面图；每年</w:t>
      </w:r>
      <w:r>
        <w:rPr>
          <w:rFonts w:eastAsia="仿宋_GB2312"/>
          <w:sz w:val="32"/>
          <w:szCs w:val="32"/>
        </w:rPr>
        <w:t>1</w:t>
      </w:r>
      <w:r>
        <w:rPr>
          <w:rFonts w:eastAsia="仿宋_GB2312"/>
          <w:sz w:val="32"/>
          <w:szCs w:val="32"/>
        </w:rPr>
        <w:t>月底前向市、县（区）规划和自然资源主管部门报送上一年度固体矿产资源统计基础表，提出储量报销申请。</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第十九条</w:t>
      </w:r>
      <w:r>
        <w:rPr>
          <w:rFonts w:eastAsia="仿宋_GB2312"/>
          <w:b/>
          <w:sz w:val="32"/>
          <w:szCs w:val="32"/>
        </w:rPr>
        <w:t xml:space="preserve">  </w:t>
      </w:r>
      <w:r>
        <w:rPr>
          <w:rFonts w:eastAsia="仿宋_GB2312"/>
          <w:sz w:val="32"/>
          <w:szCs w:val="32"/>
        </w:rPr>
        <w:t>正常损失的储量每年随矿产资源储量年报由规划和自然资源主管部门逐级审核、审批后，予以报销；非正常损失的储量，在采区或者工作面结束前，应当及时报规划和自然资源主管部门，并附矿产资源储量损失报销材料。未获批准前，不得废除坑道及其他工程和设备。</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第二十条</w:t>
      </w:r>
      <w:r>
        <w:rPr>
          <w:rFonts w:eastAsia="仿宋_GB2312"/>
          <w:sz w:val="32"/>
          <w:szCs w:val="32"/>
        </w:rPr>
        <w:t xml:space="preserve">  煤炭资源整合需调整煤炭矿山企业矿区范围的，煤炭矿山企业应当按照规定申请采矿变更登记或者办理新的证、照。</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第二十一条</w:t>
      </w:r>
      <w:r>
        <w:rPr>
          <w:rFonts w:eastAsia="仿宋_GB2312"/>
          <w:b/>
          <w:sz w:val="32"/>
          <w:szCs w:val="32"/>
        </w:rPr>
        <w:t xml:space="preserve"> </w:t>
      </w:r>
      <w:r>
        <w:rPr>
          <w:rFonts w:eastAsia="仿宋_GB2312"/>
          <w:sz w:val="32"/>
          <w:szCs w:val="32"/>
        </w:rPr>
        <w:t xml:space="preserve"> 煤炭矿山企业开采煤炭资源实行采区回采率考核制度。 </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第二十二条</w:t>
      </w:r>
      <w:r>
        <w:rPr>
          <w:rFonts w:eastAsia="仿宋_GB2312"/>
          <w:b/>
          <w:sz w:val="32"/>
          <w:szCs w:val="32"/>
        </w:rPr>
        <w:t xml:space="preserve">  </w:t>
      </w:r>
      <w:r>
        <w:rPr>
          <w:rFonts w:eastAsia="仿宋_GB2312"/>
          <w:sz w:val="32"/>
          <w:szCs w:val="32"/>
        </w:rPr>
        <w:t>煤炭矿山企业的矿井采区回采率不得低于国家规定的标准。</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第二十三条</w:t>
      </w:r>
      <w:r>
        <w:rPr>
          <w:rFonts w:eastAsia="仿宋_GB2312"/>
          <w:b/>
          <w:sz w:val="32"/>
          <w:szCs w:val="32"/>
        </w:rPr>
        <w:t xml:space="preserve"> </w:t>
      </w:r>
      <w:r>
        <w:rPr>
          <w:rFonts w:eastAsia="仿宋_GB2312"/>
          <w:sz w:val="32"/>
          <w:szCs w:val="32"/>
        </w:rPr>
        <w:t xml:space="preserve"> 县（区）规划和自然资源主管部门每年应当根据资源赋存的地质构造、煤层稳定性等因素核定煤炭矿山企业矿井采区回采率指标，考核其实际回采率 。</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第二十四条</w:t>
      </w:r>
      <w:r>
        <w:rPr>
          <w:rFonts w:eastAsia="仿宋_GB2312"/>
          <w:b/>
          <w:sz w:val="32"/>
          <w:szCs w:val="32"/>
        </w:rPr>
        <w:t xml:space="preserve"> </w:t>
      </w:r>
      <w:r>
        <w:rPr>
          <w:rFonts w:eastAsia="仿宋_GB2312"/>
          <w:sz w:val="32"/>
          <w:szCs w:val="32"/>
        </w:rPr>
        <w:t xml:space="preserve"> 煤炭矿山企业应当逐月或者逐季度对工作面和采区回采率进行自检，每年</w:t>
      </w:r>
      <w:r>
        <w:rPr>
          <w:rFonts w:eastAsia="仿宋_GB2312"/>
          <w:sz w:val="32"/>
          <w:szCs w:val="32"/>
        </w:rPr>
        <w:t>1</w:t>
      </w:r>
      <w:r>
        <w:rPr>
          <w:rFonts w:eastAsia="仿宋_GB2312"/>
          <w:sz w:val="32"/>
          <w:szCs w:val="32"/>
        </w:rPr>
        <w:t>月底前向市、县（区）规划和自然资源主管部门报送上年度的自检结果。</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第二十五条</w:t>
      </w:r>
      <w:r>
        <w:rPr>
          <w:rFonts w:eastAsia="仿宋_GB2312"/>
          <w:sz w:val="32"/>
          <w:szCs w:val="32"/>
        </w:rPr>
        <w:t xml:space="preserve">  在煤矿区进行铁路、高等级公路、工厂、水库、输油管道、输电线路和各种大型建筑物或者建筑群等可能压覆煤炭资源的工程建设的，建设单位应当在建设项目可行性研究阶段向县（区）规划和自然资源主管部门提出申请，县（区）、市规划和自然资源主管部门签署意见后，按有关规定报批。</w:t>
      </w:r>
    </w:p>
    <w:p>
      <w:pPr>
        <w:pStyle w:val="Normal"/>
        <w:widowControl w:val="false"/>
        <w:spacing w:lineRule="exact" w:line="578"/>
        <w:ind w:firstLine="640" w:end="0"/>
        <w:textAlignment w:val="auto"/>
        <w:rPr>
          <w:rFonts w:eastAsia="仿宋_GB2312"/>
          <w:b/>
          <w:sz w:val="32"/>
          <w:szCs w:val="32"/>
        </w:rPr>
      </w:pPr>
      <w:r>
        <w:rPr>
          <w:rFonts w:eastAsia="黑体"/>
          <w:sz w:val="32"/>
          <w:szCs w:val="32"/>
        </w:rPr>
        <w:t>第二十六条</w:t>
      </w:r>
      <w:r>
        <w:rPr>
          <w:rFonts w:eastAsia="仿宋_GB2312"/>
          <w:b/>
          <w:sz w:val="32"/>
          <w:szCs w:val="32"/>
        </w:rPr>
        <w:t xml:space="preserve">  </w:t>
      </w:r>
      <w:r>
        <w:rPr>
          <w:rFonts w:eastAsia="仿宋_GB2312"/>
          <w:sz w:val="32"/>
          <w:szCs w:val="32"/>
        </w:rPr>
        <w:t>压覆煤炭资源的建设项目，其压覆范围内已设置矿权的，在报规划和自然资源主管部门批准前，建设单位应当与采矿权人签订留设保安煤柱及资源补偿协议书。</w:t>
      </w:r>
      <w:r>
        <w:rPr>
          <w:rFonts w:eastAsia="仿宋_GB2312"/>
          <w:b/>
          <w:sz w:val="32"/>
          <w:szCs w:val="32"/>
        </w:rPr>
        <w:t xml:space="preserve">  </w:t>
      </w:r>
    </w:p>
    <w:p>
      <w:pPr>
        <w:pStyle w:val="Normal"/>
        <w:widowControl w:val="false"/>
        <w:spacing w:lineRule="exact" w:line="578"/>
        <w:ind w:firstLine="640" w:end="0"/>
        <w:textAlignment w:val="auto"/>
        <w:rPr>
          <w:rFonts w:eastAsia="仿宋_GB2312"/>
          <w:sz w:val="32"/>
          <w:szCs w:val="32"/>
        </w:rPr>
      </w:pPr>
      <w:r>
        <w:rPr>
          <w:rFonts w:eastAsia="仿宋_GB2312"/>
          <w:b/>
          <w:sz w:val="32"/>
          <w:szCs w:val="32"/>
        </w:rPr>
        <w:t xml:space="preserve">  </w:t>
      </w:r>
    </w:p>
    <w:p>
      <w:pPr>
        <w:pStyle w:val="Normal"/>
        <w:widowControl w:val="false"/>
        <w:spacing w:lineRule="exact" w:line="578"/>
        <w:jc w:val="center"/>
        <w:textAlignment w:val="auto"/>
        <w:rPr>
          <w:rFonts w:eastAsia="黑体"/>
          <w:sz w:val="32"/>
          <w:szCs w:val="32"/>
        </w:rPr>
      </w:pPr>
      <w:r>
        <w:rPr>
          <w:rFonts w:eastAsia="黑体"/>
          <w:sz w:val="32"/>
          <w:szCs w:val="32"/>
        </w:rPr>
        <w:t>第五章</w:t>
      </w:r>
      <w:r>
        <w:rPr>
          <w:rFonts w:hint="eastAsia" w:eastAsia="黑体"/>
          <w:sz w:val="32"/>
          <w:szCs w:val="32"/>
        </w:rPr>
        <w:t xml:space="preserve">  </w:t>
      </w:r>
      <w:r>
        <w:rPr>
          <w:rFonts w:eastAsia="黑体"/>
          <w:sz w:val="32"/>
          <w:szCs w:val="32"/>
        </w:rPr>
        <w:t>监督管理</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第二十七条</w:t>
      </w:r>
      <w:r>
        <w:rPr>
          <w:rFonts w:eastAsia="仿宋_GB2312"/>
          <w:sz w:val="32"/>
          <w:szCs w:val="32"/>
        </w:rPr>
        <w:t xml:space="preserve">  煤矿采矿权人的法定代表人是煤炭资源开发利用和保护的第一责任人。</w:t>
      </w:r>
    </w:p>
    <w:p>
      <w:pPr>
        <w:pStyle w:val="Normal"/>
        <w:widowControl w:val="false"/>
        <w:spacing w:lineRule="exact" w:line="578"/>
        <w:textAlignment w:val="auto"/>
        <w:rPr>
          <w:rFonts w:eastAsia="仿宋_GB2312"/>
          <w:sz w:val="32"/>
          <w:szCs w:val="32"/>
        </w:rPr>
      </w:pPr>
      <w:r>
        <w:rPr>
          <w:rFonts w:eastAsia="仿宋_GB2312"/>
          <w:b/>
          <w:sz w:val="32"/>
          <w:szCs w:val="32"/>
        </w:rPr>
        <w:t xml:space="preserve">    </w:t>
      </w:r>
      <w:r>
        <w:rPr>
          <w:rFonts w:eastAsia="黑体"/>
          <w:sz w:val="32"/>
          <w:szCs w:val="32"/>
        </w:rPr>
        <w:t>第二十八条</w:t>
      </w:r>
      <w:r>
        <w:rPr>
          <w:rFonts w:eastAsia="仿宋_GB2312"/>
          <w:b/>
          <w:sz w:val="32"/>
          <w:szCs w:val="32"/>
        </w:rPr>
        <w:t xml:space="preserve"> </w:t>
      </w:r>
      <w:r>
        <w:rPr>
          <w:rFonts w:eastAsia="仿宋_GB2312"/>
          <w:sz w:val="32"/>
          <w:szCs w:val="32"/>
        </w:rPr>
        <w:t xml:space="preserve"> 煤矿采矿权申请人应当具备下列条件：</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（一）矿井年设计生产能力达到国家、省、市规定的标准；</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（二）有与年设计生产能力相适应的工商注册资金；</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（三）设立地质测量机构，配备相应的专业技术人员；</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（四）法律、法规规定的其他条件。</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第二十九条</w:t>
      </w:r>
      <w:r>
        <w:rPr>
          <w:rFonts w:eastAsia="仿宋_GB2312"/>
          <w:b/>
          <w:sz w:val="32"/>
          <w:szCs w:val="32"/>
        </w:rPr>
        <w:t xml:space="preserve">  </w:t>
      </w:r>
      <w:r>
        <w:rPr>
          <w:rFonts w:eastAsia="仿宋_GB2312"/>
          <w:sz w:val="32"/>
          <w:szCs w:val="32"/>
        </w:rPr>
        <w:t>煤炭矿山企业的地质测量机构应当履行下列职责：</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（一）进行矿井采区回采率自检；</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（二）填绘矿井井上、井下工程对照图和采掘工程平面图；</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（三）计算和分析煤炭资源采出量和损失量，管理本矿山企业煤炭资源；</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（四）法律、法规、规章规定的其他职责。</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第三十条</w:t>
      </w:r>
      <w:r>
        <w:rPr>
          <w:rFonts w:eastAsia="仿宋_GB2312"/>
          <w:sz w:val="32"/>
          <w:szCs w:val="32"/>
        </w:rPr>
        <w:t xml:space="preserve">  受规划和自然资源主管部门和煤炭矿山企业委托进行地质勘测的组织，应当具备国家规定的资质，其专业技术人员应当具备国家规定的资格，并对其勘测成果负责。</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第三十一条</w:t>
      </w:r>
      <w:r>
        <w:rPr>
          <w:rFonts w:eastAsia="仿宋_GB2312"/>
          <w:sz w:val="32"/>
          <w:szCs w:val="32"/>
        </w:rPr>
        <w:t xml:space="preserve">  市、县（区）规划和自然资源主管部门检查中发现勘测成果不实或者收到对勘测成果的投诉、举报，应当组织专家鉴定并作出结论。对于勘测成果不实或者不符合相关规定的，应当由相关部门责令其补测或者重测。</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第三十二条</w:t>
      </w:r>
      <w:r>
        <w:rPr>
          <w:rFonts w:eastAsia="仿宋_GB2312"/>
          <w:sz w:val="32"/>
          <w:szCs w:val="32"/>
        </w:rPr>
        <w:t xml:space="preserve">  市规划和自然资源主管部门应当组织下列人员进行矿产资源法律、法规和煤炭储量管理业务知识培训：</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（一）煤矿采矿权人的法定代表人；</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（二）煤炭矿山企业主管地质测量工作的主要负责人；</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（三）从事地质测量工作的专业技术人员；</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（四）其他有关人员。</w:t>
      </w:r>
    </w:p>
    <w:p>
      <w:pPr>
        <w:pStyle w:val="Normal"/>
        <w:widowControl w:val="false"/>
        <w:spacing w:lineRule="exact" w:line="578"/>
        <w:ind w:firstLineChars="200" w:startChars="0" w:start="0" w:endChars="0" w:end="0"/>
        <w:textAlignment w:val="auto"/>
        <w:rPr>
          <w:rFonts w:eastAsia="仿宋_GB2312"/>
          <w:sz w:val="32"/>
          <w:szCs w:val="32"/>
        </w:rPr>
      </w:pPr>
      <w:r>
        <w:rPr>
          <w:rFonts w:eastAsia="黑体"/>
          <w:sz w:val="32"/>
          <w:szCs w:val="32"/>
        </w:rPr>
        <w:t>第三十三条</w:t>
      </w:r>
      <w:r>
        <w:rPr>
          <w:rFonts w:eastAsia="仿宋_GB2312"/>
          <w:b/>
          <w:sz w:val="32"/>
          <w:szCs w:val="32"/>
        </w:rPr>
        <w:t xml:space="preserve">  </w:t>
      </w:r>
      <w:r>
        <w:rPr>
          <w:rFonts w:eastAsia="仿宋_GB2312"/>
          <w:sz w:val="32"/>
          <w:szCs w:val="32"/>
        </w:rPr>
        <w:t>经批准的基建矿井、改扩建矿井工程竣工后，采矿权人应当及时提出验收申请；未经竣工验收，不得组织生产。</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第三十四条</w:t>
      </w:r>
      <w:r>
        <w:rPr>
          <w:rFonts w:eastAsia="仿宋_GB2312"/>
          <w:sz w:val="32"/>
          <w:szCs w:val="32"/>
        </w:rPr>
        <w:t xml:space="preserve">  禁止越层越界开采煤炭资源。市、县（区）负有监督管理职能的部门发现越层越界开采煤炭资源的，应当依法责令煤炭矿山企业采取以下措施： </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（一）拆除越层越界开采的设备；</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（二）在越层越界处本矿界内一侧砌筑永久密闭；</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（三）毁闭全部越层的井筒。</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第三十五条</w:t>
      </w:r>
      <w:r>
        <w:rPr>
          <w:rFonts w:eastAsia="仿宋_GB2312"/>
          <w:b/>
          <w:sz w:val="32"/>
          <w:szCs w:val="32"/>
        </w:rPr>
        <w:t xml:space="preserve"> </w:t>
      </w:r>
      <w:r>
        <w:rPr>
          <w:rFonts w:eastAsia="仿宋_GB2312"/>
          <w:sz w:val="32"/>
          <w:szCs w:val="32"/>
        </w:rPr>
        <w:t xml:space="preserve"> 市、县（区）能源主管部门发现越层越界开采的，应当责令其改正</w:t>
      </w:r>
      <w:r>
        <w:rPr>
          <w:rFonts w:hint="eastAsia" w:eastAsia="仿宋_GB2312"/>
          <w:sz w:val="32"/>
          <w:szCs w:val="32"/>
        </w:rPr>
        <w:t>，</w:t>
      </w:r>
      <w:r>
        <w:rPr>
          <w:rFonts w:eastAsia="仿宋_GB2312"/>
          <w:sz w:val="32"/>
          <w:szCs w:val="32"/>
        </w:rPr>
        <w:t>并将其破坏资源的相关证据移交同级规划和自然资源主管部门依法予以处罚。</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第三十六条</w:t>
      </w:r>
      <w:r>
        <w:rPr>
          <w:rFonts w:eastAsia="仿宋_GB2312"/>
          <w:b/>
          <w:sz w:val="32"/>
          <w:szCs w:val="32"/>
        </w:rPr>
        <w:t xml:space="preserve"> </w:t>
      </w:r>
      <w:r>
        <w:rPr>
          <w:rFonts w:eastAsia="仿宋_GB2312"/>
          <w:sz w:val="32"/>
          <w:szCs w:val="32"/>
        </w:rPr>
        <w:t xml:space="preserve"> 市、县（区）</w:t>
      </w:r>
      <w:r>
        <w:rPr>
          <w:rFonts w:hint="eastAsia" w:eastAsia="仿宋_GB2312"/>
          <w:sz w:val="32"/>
          <w:szCs w:val="32"/>
        </w:rPr>
        <w:t>规划和自然</w:t>
      </w:r>
      <w:r>
        <w:rPr>
          <w:rFonts w:eastAsia="仿宋_GB2312"/>
          <w:sz w:val="32"/>
          <w:szCs w:val="32"/>
        </w:rPr>
        <w:t>资源</w:t>
      </w:r>
      <w:r>
        <w:rPr>
          <w:rFonts w:hint="eastAsia" w:eastAsia="仿宋_GB2312"/>
          <w:sz w:val="32"/>
          <w:szCs w:val="32"/>
        </w:rPr>
        <w:t>、</w:t>
      </w:r>
      <w:r>
        <w:rPr>
          <w:rFonts w:eastAsia="仿宋_GB2312"/>
          <w:sz w:val="32"/>
          <w:szCs w:val="32"/>
        </w:rPr>
        <w:t>能源主管部门发现越层越界开采煤炭资源，其现场被破坏、无法测算破坏资源价值的，应当移送同级煤矿安监部门或者机构依照《国务院关于预防煤矿生产安全事故的特别规定》予以处罚。</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第三十七条</w:t>
      </w:r>
      <w:r>
        <w:rPr>
          <w:rFonts w:eastAsia="仿宋_GB2312"/>
          <w:sz w:val="32"/>
          <w:szCs w:val="32"/>
        </w:rPr>
        <w:t xml:space="preserve">  市、县（区）规划和自然资源主管部门和煤矿安监部门、机构依法对无证采矿、越层越界采矿等违法行为实施行政处罚，应当建立档案。</w:t>
      </w:r>
    </w:p>
    <w:p>
      <w:pPr>
        <w:pStyle w:val="Normal"/>
        <w:widowControl w:val="false"/>
        <w:spacing w:lineRule="exact" w:line="578"/>
        <w:ind w:firstLineChars="200" w:startChars="0" w:start="0" w:endChars="0" w:end="0"/>
        <w:textAlignment w:val="auto"/>
        <w:rPr>
          <w:rFonts w:eastAsia="仿宋_GB2312"/>
          <w:sz w:val="32"/>
          <w:szCs w:val="32"/>
        </w:rPr>
      </w:pPr>
      <w:r>
        <w:rPr>
          <w:rFonts w:eastAsia="黑体"/>
          <w:sz w:val="32"/>
          <w:szCs w:val="32"/>
        </w:rPr>
        <w:t>第三十八条</w:t>
      </w:r>
      <w:r>
        <w:rPr>
          <w:rFonts w:eastAsia="仿宋_GB2312"/>
          <w:b/>
          <w:sz w:val="32"/>
          <w:szCs w:val="32"/>
        </w:rPr>
        <w:t xml:space="preserve"> </w:t>
      </w:r>
      <w:r>
        <w:rPr>
          <w:rFonts w:eastAsia="仿宋_GB2312"/>
          <w:sz w:val="32"/>
          <w:szCs w:val="32"/>
        </w:rPr>
        <w:t xml:space="preserve"> 本办法所称越层越界开采是指超越采矿许可证载明的矿区范围开采煤炭资源的行为。 </w:t>
      </w:r>
    </w:p>
    <w:p>
      <w:pPr>
        <w:pStyle w:val="Normal"/>
        <w:widowControl w:val="false"/>
        <w:spacing w:lineRule="exact" w:line="578"/>
        <w:textAlignment w:val="auto"/>
        <w:rPr>
          <w:rFonts w:eastAsia="仿宋_GB2312"/>
          <w:sz w:val="32"/>
          <w:szCs w:val="32"/>
        </w:rPr>
      </w:pPr>
      <w:r>
        <w:rPr>
          <w:rFonts w:eastAsia="仿宋_GB2312"/>
          <w:b/>
          <w:sz w:val="32"/>
          <w:szCs w:val="32"/>
        </w:rPr>
        <w:t xml:space="preserve">    </w:t>
      </w:r>
      <w:r>
        <w:rPr>
          <w:rFonts w:eastAsia="黑体"/>
          <w:sz w:val="32"/>
          <w:szCs w:val="32"/>
        </w:rPr>
        <w:t>第三十九条</w:t>
      </w:r>
      <w:r>
        <w:rPr>
          <w:rFonts w:eastAsia="仿宋_GB2312"/>
          <w:b/>
          <w:sz w:val="32"/>
          <w:szCs w:val="32"/>
        </w:rPr>
        <w:t xml:space="preserve">  </w:t>
      </w:r>
      <w:r>
        <w:rPr>
          <w:rFonts w:eastAsia="仿宋_GB2312"/>
          <w:sz w:val="32"/>
          <w:szCs w:val="32"/>
        </w:rPr>
        <w:t>市、县（区）规划和自然资源主管部门根据煤炭矿山企业设立时批准的地质储量和相关部门核实的历年的采出量，逐年核减煤炭矿山企业的资源储量，对具有下列情形之一的应当报请原发证机关注销其采矿许可证，由当地人民政府予以关闭：</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（一）无资源储量的；</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（二）实际采出量大于批准储量的。</w:t>
      </w:r>
    </w:p>
    <w:p>
      <w:pPr>
        <w:pStyle w:val="Normal"/>
        <w:widowControl w:val="false"/>
        <w:spacing w:lineRule="exact" w:line="578"/>
        <w:ind w:firstLineChars="200" w:startChars="0" w:start="0" w:endChars="0" w:end="0"/>
        <w:textAlignment w:val="auto"/>
        <w:rPr>
          <w:rFonts w:eastAsia="仿宋_GB2312"/>
          <w:sz w:val="32"/>
          <w:szCs w:val="32"/>
        </w:rPr>
      </w:pPr>
      <w:r>
        <w:rPr>
          <w:rFonts w:eastAsia="黑体"/>
          <w:sz w:val="32"/>
          <w:szCs w:val="32"/>
        </w:rPr>
        <w:t>第四十条</w:t>
      </w:r>
      <w:r>
        <w:rPr>
          <w:rFonts w:eastAsia="仿宋_GB2312"/>
          <w:b/>
          <w:sz w:val="32"/>
          <w:szCs w:val="32"/>
        </w:rPr>
        <w:t xml:space="preserve"> </w:t>
      </w:r>
      <w:r>
        <w:rPr>
          <w:rFonts w:eastAsia="仿宋_GB2312"/>
          <w:sz w:val="32"/>
          <w:szCs w:val="32"/>
        </w:rPr>
        <w:t xml:space="preserve"> 依法关闭矿井，由县（区）人民政府组织实施，由作出决定的机关监督。关闭后的矿井，应当达到以下标准</w:t>
      </w:r>
      <w:r>
        <w:rPr>
          <w:rFonts w:eastAsia="仿宋_GB2312"/>
          <w:sz w:val="32"/>
          <w:szCs w:val="32"/>
        </w:rPr>
        <w:t>:</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hint="eastAsia" w:eastAsia="仿宋_GB2312"/>
          <w:sz w:val="32"/>
          <w:szCs w:val="32"/>
        </w:rPr>
        <w:t>（一）</w:t>
      </w:r>
      <w:r>
        <w:rPr>
          <w:rFonts w:eastAsia="仿宋_GB2312"/>
          <w:sz w:val="32"/>
          <w:szCs w:val="32"/>
        </w:rPr>
        <w:t>矿井井筒完全毁闭；</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hint="eastAsia" w:eastAsia="仿宋_GB2312"/>
          <w:sz w:val="32"/>
          <w:szCs w:val="32"/>
        </w:rPr>
        <w:t>（二）</w:t>
      </w:r>
      <w:r>
        <w:rPr>
          <w:rFonts w:eastAsia="仿宋_GB2312"/>
          <w:sz w:val="32"/>
          <w:szCs w:val="32"/>
        </w:rPr>
        <w:t>井口场地得到平整；</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hint="eastAsia" w:eastAsia="仿宋_GB2312"/>
          <w:sz w:val="32"/>
          <w:szCs w:val="32"/>
        </w:rPr>
        <w:t>（三）</w:t>
      </w:r>
      <w:r>
        <w:rPr>
          <w:rFonts w:eastAsia="仿宋_GB2312"/>
          <w:sz w:val="32"/>
          <w:szCs w:val="32"/>
        </w:rPr>
        <w:t>矿井生产设备和供电、通讯线路、供水管路全部拆除；</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hint="eastAsia" w:eastAsia="仿宋_GB2312"/>
          <w:sz w:val="32"/>
          <w:szCs w:val="32"/>
        </w:rPr>
        <w:t>（四）</w:t>
      </w:r>
      <w:r>
        <w:rPr>
          <w:rFonts w:eastAsia="仿宋_GB2312"/>
          <w:sz w:val="32"/>
          <w:szCs w:val="32"/>
        </w:rPr>
        <w:t>妥善处理矿井财产；</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hint="eastAsia" w:eastAsia="仿宋_GB2312"/>
          <w:sz w:val="32"/>
          <w:szCs w:val="32"/>
        </w:rPr>
        <w:t>（五）</w:t>
      </w:r>
      <w:r>
        <w:rPr>
          <w:rFonts w:eastAsia="仿宋_GB2312"/>
          <w:sz w:val="32"/>
          <w:szCs w:val="32"/>
        </w:rPr>
        <w:t>在媒体上发布关闭矿井公告。</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第四十一条</w:t>
      </w:r>
      <w:r>
        <w:rPr>
          <w:rFonts w:eastAsia="仿宋_GB2312"/>
          <w:sz w:val="32"/>
          <w:szCs w:val="32"/>
        </w:rPr>
        <w:t xml:space="preserve">  矿井关闭后，由县（区）人民政府组织验收，达到本办法第四十条规定标准的，由作出关闭决定的部门填写关闭矿井报告单，交县（区）人民政府备案，抄送同级规划和自然资源主管部门。</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第四十二条</w:t>
      </w:r>
      <w:r>
        <w:rPr>
          <w:rFonts w:eastAsia="仿宋_GB2312"/>
          <w:b/>
          <w:sz w:val="32"/>
          <w:szCs w:val="32"/>
        </w:rPr>
        <w:t xml:space="preserve"> </w:t>
      </w:r>
      <w:r>
        <w:rPr>
          <w:rFonts w:eastAsia="仿宋_GB2312"/>
          <w:sz w:val="32"/>
          <w:szCs w:val="32"/>
        </w:rPr>
        <w:t xml:space="preserve"> 有下列情形之一的属于无证采矿：</w:t>
      </w:r>
    </w:p>
    <w:p>
      <w:pPr>
        <w:pStyle w:val="Normal"/>
        <w:widowControl w:val="false"/>
        <w:tabs>
          <w:tab w:val="clear" w:pos="420"/>
          <w:tab w:val="left" w:pos="900" w:leader="none"/>
        </w:tabs>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（一）无采矿许可证开采煤炭资源的；</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（二）采矿许可证有效期满，未办理延续登记，自行废止的；</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（三）采矿许可证被注销、吊销后继续开采煤炭资源的；</w:t>
      </w:r>
    </w:p>
    <w:p>
      <w:pPr>
        <w:pStyle w:val="Normal"/>
        <w:widowControl w:val="false"/>
        <w:tabs>
          <w:tab w:val="clear" w:pos="420"/>
          <w:tab w:val="left" w:pos="900" w:leader="none"/>
        </w:tabs>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（四）未按采矿许可证规定的矿种开采矿产资源的（共生、伴生矿种除外）；</w:t>
      </w:r>
    </w:p>
    <w:p>
      <w:pPr>
        <w:pStyle w:val="Normal"/>
        <w:widowControl w:val="false"/>
        <w:tabs>
          <w:tab w:val="clear" w:pos="420"/>
          <w:tab w:val="left" w:pos="900" w:leader="none"/>
        </w:tabs>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（五）法律、法规、规章规定的其他情形。</w:t>
      </w:r>
    </w:p>
    <w:p>
      <w:pPr>
        <w:pStyle w:val="Normal"/>
        <w:widowControl w:val="false"/>
        <w:spacing w:lineRule="exact" w:line="578"/>
        <w:textAlignment w:val="auto"/>
        <w:rPr>
          <w:rFonts w:eastAsia="仿宋_GB2312"/>
          <w:spacing w:val="-6"/>
          <w:sz w:val="32"/>
          <w:szCs w:val="32"/>
        </w:rPr>
      </w:pPr>
      <w:r>
        <w:rPr>
          <w:rFonts w:eastAsia="仿宋_GB2312"/>
          <w:sz w:val="32"/>
          <w:szCs w:val="32"/>
        </w:rPr>
        <w:t xml:space="preserve">       </w:t>
      </w:r>
      <w:r>
        <w:rPr>
          <w:rFonts w:eastAsia="黑体"/>
          <w:sz w:val="32"/>
          <w:szCs w:val="32"/>
        </w:rPr>
        <w:t>第四十三条</w:t>
      </w:r>
      <w:r>
        <w:rPr>
          <w:rFonts w:eastAsia="仿宋_GB2312"/>
          <w:sz w:val="32"/>
          <w:szCs w:val="32"/>
        </w:rPr>
        <w:t xml:space="preserve"> </w:t>
      </w:r>
      <w:r>
        <w:rPr>
          <w:rFonts w:eastAsia="仿宋_GB2312"/>
          <w:spacing w:val="-6"/>
          <w:sz w:val="32"/>
          <w:szCs w:val="32"/>
        </w:rPr>
        <w:t xml:space="preserve"> 因违法采矿被吊销采矿许可证或者犯非法采矿罪、破坏性采矿罪的煤炭矿山企业，其法定代表人、矿长和有关责任人不得作为煤炭资源和其他矿产资源矿业权的申请人、竞买人、受让人和矿山企业法定代表人、矿长或者负责人。</w:t>
      </w:r>
    </w:p>
    <w:p>
      <w:pPr>
        <w:pStyle w:val="Normal"/>
        <w:widowControl w:val="false"/>
        <w:spacing w:lineRule="exact" w:line="578"/>
        <w:jc w:val="center"/>
        <w:textAlignment w:val="auto"/>
        <w:rPr>
          <w:rFonts w:eastAsia="黑体"/>
          <w:sz w:val="32"/>
          <w:szCs w:val="32"/>
        </w:rPr>
      </w:pPr>
      <w:r>
        <w:rPr>
          <w:rFonts w:eastAsia="黑体"/>
          <w:sz w:val="32"/>
          <w:szCs w:val="32"/>
        </w:rPr>
        <w:t>第六章</w:t>
      </w:r>
      <w:r>
        <w:rPr>
          <w:rFonts w:hint="eastAsia" w:eastAsia="黑体"/>
          <w:sz w:val="32"/>
          <w:szCs w:val="32"/>
        </w:rPr>
        <w:t xml:space="preserve">  </w:t>
      </w:r>
      <w:r>
        <w:rPr>
          <w:rFonts w:eastAsia="黑体"/>
          <w:sz w:val="32"/>
          <w:szCs w:val="32"/>
        </w:rPr>
        <w:t>法律责任</w:t>
      </w:r>
    </w:p>
    <w:p>
      <w:pPr>
        <w:pStyle w:val="Normal"/>
        <w:widowControl w:val="false"/>
        <w:spacing w:lineRule="exact" w:line="578"/>
        <w:textAlignment w:val="auto"/>
        <w:rPr>
          <w:rFonts w:eastAsia="仿宋_GB2312"/>
          <w:sz w:val="32"/>
          <w:szCs w:val="32"/>
        </w:rPr>
      </w:pPr>
      <w:r>
        <w:rPr>
          <w:rFonts w:eastAsia="仿宋_GB2312"/>
          <w:sz w:val="32"/>
          <w:szCs w:val="32"/>
        </w:rPr>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第四十四条</w:t>
      </w:r>
      <w:r>
        <w:rPr>
          <w:rFonts w:eastAsia="仿宋_GB2312"/>
          <w:b/>
          <w:sz w:val="32"/>
          <w:szCs w:val="32"/>
        </w:rPr>
        <w:t xml:space="preserve">  </w:t>
      </w:r>
      <w:r>
        <w:rPr>
          <w:rFonts w:eastAsia="仿宋_GB2312"/>
          <w:sz w:val="32"/>
          <w:szCs w:val="32"/>
        </w:rPr>
        <w:t>违反本办法规定，煤炭矿山企业和经营企业在特殊、稀缺煤种和配焦煤、优质动力煤产品中掺杂掺假、以次充好的，由市场监督管理部门依法处罚。</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第四十五条</w:t>
      </w:r>
      <w:r>
        <w:rPr>
          <w:rFonts w:eastAsia="仿宋_GB2312"/>
          <w:sz w:val="32"/>
          <w:szCs w:val="32"/>
        </w:rPr>
        <w:t xml:space="preserve">  违反本办法规定，有下列情形之一的，由市、县（区）规划和自然资源主管部门责令改正，可以并处五千元以上五万元以下的罚款：</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（一）未按时报送资料或者报送资料弄虚作假的；</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（二）未按时申报报销资源储量的；</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仿宋_GB2312"/>
          <w:sz w:val="32"/>
          <w:szCs w:val="32"/>
        </w:rPr>
        <w:t>（三）未按时报送上年度采区回采率自检结果的。</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第四十六条</w:t>
      </w:r>
      <w:r>
        <w:rPr>
          <w:rFonts w:eastAsia="仿宋_GB2312"/>
          <w:b/>
          <w:sz w:val="32"/>
          <w:szCs w:val="32"/>
        </w:rPr>
        <w:t xml:space="preserve"> </w:t>
      </w:r>
      <w:r>
        <w:rPr>
          <w:rFonts w:eastAsia="仿宋_GB2312"/>
          <w:sz w:val="32"/>
          <w:szCs w:val="32"/>
        </w:rPr>
        <w:t xml:space="preserve"> 违反本办法规定，煤炭矿山企业矿井采区回采率连续三年达不到国家规定标准的， 由市、县（区）规划和自然资源主管部门责令采取有效措施限期改正，并可处以损失资源价值百分之五十以下的罚款；情节严重的，责令停产整顿或者报请原发证机关吊销采矿许可证。</w:t>
      </w:r>
    </w:p>
    <w:p>
      <w:pPr>
        <w:pStyle w:val="Normal"/>
        <w:widowControl w:val="false"/>
        <w:spacing w:lineRule="exact" w:line="578"/>
        <w:textAlignment w:val="auto"/>
        <w:rPr>
          <w:rFonts w:eastAsia="仿宋_GB2312"/>
          <w:sz w:val="32"/>
          <w:szCs w:val="32"/>
        </w:rPr>
      </w:pPr>
      <w:r>
        <w:rPr>
          <w:rFonts w:eastAsia="仿宋_GB2312"/>
          <w:sz w:val="32"/>
          <w:szCs w:val="32"/>
        </w:rPr>
        <w:t xml:space="preserve">    </w:t>
      </w:r>
      <w:r>
        <w:rPr>
          <w:rFonts w:eastAsia="黑体"/>
          <w:sz w:val="32"/>
          <w:szCs w:val="32"/>
        </w:rPr>
        <w:t>第四十七条</w:t>
      </w:r>
      <w:r>
        <w:rPr>
          <w:rFonts w:eastAsia="仿宋_GB2312"/>
          <w:b/>
          <w:sz w:val="32"/>
          <w:szCs w:val="32"/>
        </w:rPr>
        <w:t xml:space="preserve">  </w:t>
      </w:r>
      <w:r>
        <w:rPr>
          <w:rFonts w:eastAsia="仿宋_GB2312"/>
          <w:sz w:val="32"/>
          <w:szCs w:val="32"/>
        </w:rPr>
        <w:t xml:space="preserve">违反本办法规定，未经批准擅自开工建设压覆煤炭资源的，由市、县（区）规划和自然资源主管部门责令拆除建筑物、构筑物。 </w:t>
      </w:r>
    </w:p>
    <w:p>
      <w:pPr>
        <w:pStyle w:val="Normal"/>
        <w:widowControl w:val="false"/>
        <w:spacing w:lineRule="exact" w:line="578"/>
        <w:textAlignment w:val="auto"/>
        <w:rPr>
          <w:rFonts w:eastAsia="仿宋_GB2312"/>
          <w:spacing w:val="-6"/>
          <w:sz w:val="32"/>
          <w:szCs w:val="32"/>
        </w:rPr>
      </w:pPr>
      <w:r>
        <w:rPr>
          <w:rFonts w:eastAsia="仿宋_GB2312"/>
          <w:sz w:val="32"/>
          <w:szCs w:val="32"/>
        </w:rPr>
        <w:t xml:space="preserve">    </w:t>
      </w:r>
      <w:r>
        <w:rPr>
          <w:rFonts w:eastAsia="黑体"/>
          <w:sz w:val="32"/>
          <w:szCs w:val="32"/>
        </w:rPr>
        <w:t>第四十八条</w:t>
      </w:r>
      <w:r>
        <w:rPr>
          <w:rFonts w:eastAsia="仿宋_GB2312"/>
          <w:b/>
          <w:sz w:val="32"/>
          <w:szCs w:val="32"/>
        </w:rPr>
        <w:t xml:space="preserve">  </w:t>
      </w:r>
      <w:r>
        <w:rPr>
          <w:rFonts w:eastAsia="仿宋_GB2312"/>
          <w:spacing w:val="-6"/>
          <w:sz w:val="32"/>
          <w:szCs w:val="32"/>
        </w:rPr>
        <w:t>负有煤炭资源勘查、开发利用和保护监督管理职责的国家工作人员不认真履行职责，徇私舞弊、玩忽职守、失职渎职的，依法给予行政处分；构成犯罪的依法追究刑事责任。</w:t>
      </w:r>
    </w:p>
    <w:p>
      <w:pPr>
        <w:pStyle w:val="Normal"/>
        <w:widowControl w:val="false"/>
        <w:spacing w:lineRule="exact" w:line="578"/>
        <w:jc w:val="center"/>
        <w:textAlignment w:val="auto"/>
        <w:rPr>
          <w:rFonts w:eastAsia="黑体"/>
          <w:sz w:val="32"/>
          <w:szCs w:val="32"/>
        </w:rPr>
      </w:pPr>
      <w:r>
        <w:rPr>
          <w:rFonts w:eastAsia="黑体"/>
          <w:sz w:val="32"/>
          <w:szCs w:val="32"/>
        </w:rPr>
        <w:t>第七章</w:t>
      </w:r>
      <w:r>
        <w:rPr>
          <w:rFonts w:hint="eastAsia" w:eastAsia="黑体"/>
          <w:sz w:val="32"/>
          <w:szCs w:val="32"/>
        </w:rPr>
        <w:t xml:space="preserve">  </w:t>
      </w:r>
      <w:r>
        <w:rPr>
          <w:rFonts w:eastAsia="黑体"/>
          <w:sz w:val="32"/>
          <w:szCs w:val="32"/>
        </w:rPr>
        <w:t>附  则</w:t>
      </w:r>
    </w:p>
    <w:p>
      <w:pPr>
        <w:pStyle w:val="Normal"/>
        <w:widowControl w:val="false"/>
        <w:spacing w:lineRule="exact" w:line="578"/>
        <w:textAlignment w:val="auto"/>
        <w:rPr>
          <w:rFonts w:eastAsia="仿宋_GB2312"/>
          <w:sz w:val="32"/>
          <w:szCs w:val="32"/>
        </w:rPr>
      </w:pPr>
      <w:r>
        <w:rPr>
          <w:rFonts w:eastAsia="仿宋_GB2312"/>
          <w:b/>
          <w:sz w:val="32"/>
          <w:szCs w:val="32"/>
        </w:rPr>
        <w:t xml:space="preserve"> </w:t>
      </w:r>
    </w:p>
    <w:p>
      <w:pPr>
        <w:pStyle w:val="Normal"/>
        <w:widowControl w:val="false"/>
        <w:spacing w:lineRule="exact" w:line="578"/>
        <w:textAlignment w:val="auto"/>
        <w:rPr/>
      </w:pPr>
      <w:r>
        <w:rPr>
          <w:rFonts w:eastAsia="仿宋_GB2312"/>
          <w:b/>
          <w:sz w:val="32"/>
          <w:szCs w:val="32"/>
        </w:rPr>
        <w:t xml:space="preserve">    </w:t>
      </w:r>
      <w:r>
        <w:rPr>
          <w:rFonts w:eastAsia="黑体"/>
          <w:sz w:val="32"/>
          <w:szCs w:val="32"/>
        </w:rPr>
        <w:t>第四十九条</w:t>
      </w:r>
      <w:r>
        <w:rPr>
          <w:rFonts w:eastAsia="仿宋_GB2312"/>
          <w:sz w:val="32"/>
          <w:szCs w:val="32"/>
        </w:rPr>
        <w:t xml:space="preserve">  本办法自</w:t>
      </w:r>
      <w:r>
        <w:rPr>
          <w:rFonts w:eastAsia="仿宋_GB2312"/>
          <w:sz w:val="32"/>
          <w:szCs w:val="32"/>
        </w:rPr>
        <w:t>2007</w:t>
      </w:r>
      <w:r>
        <w:rPr>
          <w:rFonts w:eastAsia="仿宋_GB2312"/>
          <w:sz w:val="32"/>
          <w:szCs w:val="32"/>
        </w:rPr>
        <w:t>年月</w:t>
      </w:r>
      <w:r>
        <w:rPr>
          <w:rFonts w:eastAsia="仿宋_GB2312"/>
          <w:sz w:val="32"/>
          <w:szCs w:val="32"/>
        </w:rPr>
        <w:t>1</w:t>
      </w:r>
      <w:r>
        <w:rPr>
          <w:rFonts w:eastAsia="仿宋_GB2312"/>
          <w:sz w:val="32"/>
          <w:szCs w:val="32"/>
        </w:rPr>
        <w:t>月</w:t>
      </w:r>
      <w:r>
        <w:rPr>
          <w:rFonts w:eastAsia="仿宋_GB2312"/>
          <w:sz w:val="32"/>
          <w:szCs w:val="32"/>
        </w:rPr>
        <w:t>1</w:t>
      </w:r>
      <w:r>
        <w:rPr>
          <w:rFonts w:eastAsia="仿宋_GB2312"/>
          <w:sz w:val="32"/>
          <w:szCs w:val="32"/>
        </w:rPr>
        <w:t>日起施行。</w:t>
      </w:r>
    </w:p>
    <w:sectPr>
      <w:footerReference w:type="default" r:id="rId2"/>
      <w:type w:val="nextPage"/>
      <w:pgSz w:w="11906" w:h="16838"/>
      <w:pgMar w:left="1588" w:right="1588" w:gutter="0" w:header="0" w:top="2098" w:footer="1531" w:bottom="158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napToGrid w:val="false"/>
      <w:spacing w:lineRule="atLeast" w:line="0"/>
      <w:ind w:firstLine="360" w:end="360"/>
      <w:rPr>
        <w:rFonts w:hint="eastAsia"/>
        <w:lang w:val="en-US" w:eastAsia="en-US"/>
      </w:rPr>
    </w:pPr>
    <w:r>
      <w:rPr>
        <w:rFonts w:hint="eastAsia"/>
        <w:lang w:val="en-US" w:eastAsia="en-US"/>
      </w:rPr>
      <mc:AlternateContent>
        <mc:Choice Requires="wps">
          <w:drawing>
            <wp:anchor distT="0" distB="0" distL="0" distR="0" simplePos="0" relativeHeight="25" behindDoc="1" locked="0" layoutInCell="0" allowOverlap="1">
              <wp:simplePos x="0" y="0"/>
              <wp:positionH relativeFrom="page">
                <wp:posOffset>719455</wp:posOffset>
              </wp:positionH>
              <wp:positionV relativeFrom="page">
                <wp:posOffset>10151745</wp:posOffset>
              </wp:positionV>
              <wp:extent cx="6119495" cy="179705"/>
              <wp:effectExtent l="635" t="635" r="0" b="0"/>
              <wp:wrapNone/>
              <wp:docPr id="1" name="文本框 3"/>
              <a:graphic xmlns:a="http://schemas.openxmlformats.org/drawingml/2006/main">
                <a:graphicData uri="http://schemas.microsoft.com/office/word/2010/wordprocessingShape">
                  <wps:wsp>
                    <wps:cNvSpPr/>
                    <wps:spPr>
                      <a:xfrm>
                        <a:off x="0" y="0"/>
                        <a:ext cx="6119640" cy="179640"/>
                      </a:xfrm>
                      <a:prstGeom prst="rect">
                        <a:avLst/>
                      </a:prstGeom>
                      <a:noFill/>
                      <a:ln w="0">
                        <a:noFill/>
                      </a:ln>
                      <a:effectLst>
                        <a:outerShdw dist="0" dir="0" rotWithShape="0">
                          <a:srgbClr val="A0A0A4"/>
                        </a:outerShdw>
                      </a:effectLst>
                    </wps:spPr>
                    <wps:style>
                      <a:lnRef idx="0"/>
                      <a:fillRef idx="0"/>
                      <a:effectRef idx="0"/>
                      <a:fontRef idx="minor"/>
                    </wps:style>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56.65pt;margin-top:799.35pt;width:481.8pt;height:14.1pt;mso-wrap-style:none;v-text-anchor:middle;mso-position-horizontal-relative:page;mso-position-vertical-relative:page" type="_x0000_t202">
              <v:fill o:detectmouseclick="t" on="false"/>
              <v:stroke color="#3465a4" joinstyle="round" endcap="flat"/>
              <w10:wrap type="none"/>
            </v:shape>
          </w:pict>
        </mc:Fallback>
      </mc:AlternateContent>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spacing w:lineRule="auto" w:line="240"/>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spacing w:lineRule="auto" w:line="240"/>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tLeast" w:line="357" w:before="0" w:after="0"/>
      <w:ind w:hanging="0" w:start="0" w:end="0"/>
      <w:jc w:val="both"/>
      <w:textAlignment w:val="baseline"/>
    </w:pPr>
    <w:rPr>
      <w:rFonts w:ascii="Times New Roman" w:hAnsi="Times New Roman" w:eastAsia="宋体" w:cs="Times New Roman"/>
      <w:b w:val="false"/>
      <w:i w:val="false"/>
      <w:strike w:val="false"/>
      <w:dstrike w:val="false"/>
      <w:color w:val="000000"/>
      <w:position w:val="0"/>
      <w:sz w:val="21"/>
      <w:szCs w:val="20"/>
      <w:u w:val="none" w:color="000000"/>
      <w:vertAlign w:val="baseline"/>
      <w:lang w:bidi="ar-SA" w:val="en-US" w:eastAsia="zh-CN"/>
    </w:rPr>
  </w:style>
  <w:style w:type="paragraph" w:styleId="Heading2">
    <w:name w:val="heading 2"/>
    <w:basedOn w:val="Normal"/>
    <w:next w:val="Normal"/>
    <w:qFormat/>
    <w:pPr>
      <w:keepNext w:val="true"/>
      <w:keepLines/>
      <w:widowControl w:val="false"/>
      <w:numPr>
        <w:ilvl w:val="1"/>
        <w:numId w:val="1"/>
      </w:numPr>
      <w:spacing w:lineRule="auto" w:line="415" w:before="260" w:after="260"/>
      <w:textAlignment w:val="auto"/>
      <w:outlineLvl w:val="1"/>
    </w:pPr>
    <w:rPr>
      <w:rFonts w:ascii="Arial" w:hAnsi="Arial" w:eastAsia="黑体" w:cs="Arial"/>
      <w:b/>
      <w:bCs/>
      <w:color w:val="000000"/>
      <w:kern w:val="2"/>
      <w:sz w:val="32"/>
      <w:szCs w:val="32"/>
    </w:rPr>
  </w:style>
  <w:style w:type="paragraph" w:styleId="Heading3">
    <w:name w:val="heading 3"/>
    <w:basedOn w:val="Normal"/>
    <w:next w:val="Normal"/>
    <w:qFormat/>
    <w:pPr>
      <w:keepNext w:val="true"/>
      <w:keepLines/>
      <w:widowControl w:val="false"/>
      <w:numPr>
        <w:ilvl w:val="2"/>
        <w:numId w:val="1"/>
      </w:numPr>
      <w:spacing w:lineRule="auto" w:line="415" w:before="260" w:after="260"/>
      <w:textAlignment w:val="auto"/>
      <w:outlineLvl w:val="2"/>
    </w:pPr>
    <w:rPr>
      <w:b/>
      <w:bCs/>
      <w:color w:val="000000"/>
      <w:kern w:val="2"/>
      <w:sz w:val="32"/>
      <w:szCs w:val="32"/>
    </w:rPr>
  </w:style>
  <w:style w:type="character" w:styleId="Style12">
    <w:name w:val="默认段落字体"/>
    <w:qFormat/>
    <w:rPr/>
  </w:style>
  <w:style w:type="character" w:styleId="Style13">
    <w:name w:val="超级链接"/>
    <w:basedOn w:val="Style12"/>
    <w:qFormat/>
    <w:rPr>
      <w:rFonts w:ascii="Times New Roman" w:hAnsi="Times New Roman" w:eastAsia="宋体"/>
      <w:b w:val="false"/>
      <w:i w:val="false"/>
      <w:strike w:val="false"/>
      <w:dstrike w:val="false"/>
      <w:color w:val="0000FF"/>
      <w:position w:val="0"/>
      <w:sz w:val="21"/>
      <w:u w:val="single" w:color="0000FF"/>
      <w:vertAlign w:val="baseline"/>
    </w:rPr>
  </w:style>
  <w:style w:type="character" w:styleId="CharChar2">
    <w:name w:val=" Char Char2"/>
    <w:qFormat/>
    <w:rPr>
      <w:rFonts w:ascii="Arial" w:hAnsi="Arial" w:eastAsia="黑体" w:cs="Arial"/>
      <w:b/>
      <w:bCs/>
      <w:kern w:val="2"/>
      <w:sz w:val="32"/>
      <w:szCs w:val="32"/>
      <w:lang w:bidi="ar-SA"/>
    </w:rPr>
  </w:style>
  <w:style w:type="character" w:styleId="CharChar1">
    <w:name w:val=" Char Char1"/>
    <w:qFormat/>
    <w:rPr>
      <w:rFonts w:eastAsia="宋体"/>
      <w:b/>
      <w:bCs/>
      <w:kern w:val="2"/>
      <w:sz w:val="32"/>
      <w:szCs w:val="32"/>
      <w:lang w:bidi="ar-SA"/>
    </w:rPr>
  </w:style>
  <w:style w:type="character" w:styleId="PageNumber">
    <w:name w:val="page number"/>
    <w:basedOn w:val="Style12"/>
    <w:rPr/>
  </w:style>
  <w:style w:type="character" w:styleId="Style14">
    <w:name w:val="链接"/>
    <w:basedOn w:val="Style12"/>
    <w:qFormat/>
    <w:rPr>
      <w:rFonts w:ascii="Times New Roman" w:hAnsi="Times New Roman" w:eastAsia="宋体"/>
      <w:b w:val="false"/>
      <w:i w:val="false"/>
      <w:strike w:val="false"/>
      <w:dstrike w:val="false"/>
      <w:color w:val="0000FF"/>
      <w:position w:val="0"/>
      <w:sz w:val="21"/>
      <w:u w:val="single" w:color="0000FF"/>
      <w:vertAlign w:val="baseli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目录标题"/>
    <w:basedOn w:val="Normal"/>
    <w:next w:val="Normal"/>
    <w:qFormat/>
    <w:pPr>
      <w:spacing w:lineRule="atLeast" w:line="566" w:before="566" w:after="544"/>
      <w:ind w:firstLine="419" w:start="0" w:end="0"/>
      <w:jc w:val="center"/>
      <w:textAlignment w:val="baseline"/>
    </w:pPr>
    <w:rPr>
      <w:rFonts w:ascii="Arial" w:hAnsi="Arial" w:eastAsia="黑体"/>
      <w:b w:val="false"/>
      <w:i w:val="false"/>
      <w:strike w:val="false"/>
      <w:dstrike w:val="false"/>
      <w:color w:val="000000"/>
      <w:spacing w:val="566"/>
      <w:position w:val="0"/>
      <w:sz w:val="54"/>
      <w:u w:val="none" w:color="000000"/>
      <w:vertAlign w:val="baseline"/>
    </w:rPr>
  </w:style>
  <w:style w:type="paragraph" w:styleId="Style16">
    <w:name w:val="文章总标题"/>
    <w:basedOn w:val="Normal"/>
    <w:next w:val="Style20"/>
    <w:qFormat/>
    <w:pPr>
      <w:spacing w:lineRule="atLeast" w:line="566" w:before="566" w:after="544"/>
      <w:ind w:hanging="0" w:start="0" w:end="0"/>
      <w:jc w:val="center"/>
      <w:textAlignment w:val="baseline"/>
    </w:pPr>
    <w:rPr>
      <w:rFonts w:ascii="Arial" w:hAnsi="Arial" w:eastAsia="黑体"/>
      <w:b w:val="false"/>
      <w:i w:val="false"/>
      <w:strike w:val="false"/>
      <w:dstrike w:val="false"/>
      <w:color w:val="000000"/>
      <w:position w:val="0"/>
      <w:sz w:val="54"/>
      <w:u w:val="none" w:color="000000"/>
      <w:vertAlign w:val="baseline"/>
    </w:rPr>
  </w:style>
  <w:style w:type="paragraph" w:styleId="Style17">
    <w:name w:val="章标题"/>
    <w:basedOn w:val="Normal"/>
    <w:next w:val="Style19"/>
    <w:qFormat/>
    <w:pPr>
      <w:spacing w:lineRule="atLeast" w:line="323" w:before="158" w:after="153"/>
      <w:ind w:hanging="0" w:start="0" w:end="0"/>
      <w:jc w:val="center"/>
      <w:textAlignment w:val="baseline"/>
    </w:pPr>
    <w:rPr>
      <w:rFonts w:ascii="Arial" w:hAnsi="Arial" w:eastAsia="黑体"/>
      <w:b w:val="false"/>
      <w:i w:val="false"/>
      <w:strike w:val="false"/>
      <w:dstrike w:val="false"/>
      <w:color w:val="000000"/>
      <w:position w:val="0"/>
      <w:sz w:val="31"/>
      <w:u w:val="none" w:color="000000"/>
      <w:vertAlign w:val="baseline"/>
    </w:rPr>
  </w:style>
  <w:style w:type="paragraph" w:styleId="2">
    <w:name w:val="目录2"/>
    <w:basedOn w:val="Normal"/>
    <w:next w:val="Normal"/>
    <w:qFormat/>
    <w:pPr>
      <w:tabs>
        <w:tab w:val="clear" w:pos="420"/>
        <w:tab w:val="left" w:pos="8503" w:leader="dot"/>
      </w:tabs>
      <w:spacing w:lineRule="atLeast" w:line="317"/>
      <w:ind w:firstLine="209" w:start="0" w:end="0"/>
      <w:jc w:val="both"/>
      <w:textAlignment w:val="baseline"/>
    </w:pPr>
    <w:rPr>
      <w:rFonts w:ascii="Times New Roman" w:hAnsi="Times New Roman" w:eastAsia="宋体"/>
      <w:b w:val="false"/>
      <w:i w:val="false"/>
      <w:strike w:val="false"/>
      <w:dstrike w:val="false"/>
      <w:color w:val="000000"/>
      <w:position w:val="0"/>
      <w:sz w:val="21"/>
      <w:u w:val="none" w:color="000000"/>
      <w:vertAlign w:val="baseline"/>
    </w:rPr>
  </w:style>
  <w:style w:type="paragraph" w:styleId="1">
    <w:name w:val="目录1"/>
    <w:basedOn w:val="Normal"/>
    <w:next w:val="Normal"/>
    <w:qFormat/>
    <w:pPr>
      <w:tabs>
        <w:tab w:val="clear" w:pos="420"/>
        <w:tab w:val="left" w:pos="8503" w:leader="dot"/>
      </w:tabs>
      <w:spacing w:lineRule="atLeast" w:line="289" w:before="0" w:after="136"/>
      <w:ind w:hanging="0" w:start="0" w:end="0"/>
      <w:jc w:val="start"/>
      <w:textAlignment w:val="baseline"/>
    </w:pPr>
    <w:rPr>
      <w:rFonts w:ascii="Arial" w:hAnsi="Arial" w:eastAsia="黑体"/>
      <w:b w:val="false"/>
      <w:i w:val="false"/>
      <w:strike w:val="false"/>
      <w:dstrike w:val="false"/>
      <w:color w:val="000000"/>
      <w:position w:val="0"/>
      <w:sz w:val="28"/>
      <w:u w:val="none" w:color="000000"/>
      <w:vertAlign w:val="baseline"/>
    </w:rPr>
  </w:style>
  <w:style w:type="paragraph" w:styleId="Style18">
    <w:name w:val="小节标题"/>
    <w:basedOn w:val="Normal"/>
    <w:next w:val="Normal"/>
    <w:qFormat/>
    <w:pPr>
      <w:spacing w:lineRule="atLeast" w:line="351" w:before="175" w:after="102"/>
      <w:ind w:hanging="0" w:start="0" w:end="0"/>
      <w:jc w:val="both"/>
      <w:textAlignment w:val="baseline"/>
    </w:pPr>
    <w:rPr>
      <w:rFonts w:ascii="Times New Roman" w:hAnsi="Times New Roman" w:eastAsia="黑体"/>
      <w:b w:val="false"/>
      <w:i w:val="false"/>
      <w:strike w:val="false"/>
      <w:dstrike w:val="false"/>
      <w:color w:val="000000"/>
      <w:position w:val="0"/>
      <w:sz w:val="21"/>
      <w:u w:val="none" w:color="000000"/>
      <w:vertAlign w:val="baseline"/>
    </w:rPr>
  </w:style>
  <w:style w:type="paragraph" w:styleId="Style19">
    <w:name w:val="节标题"/>
    <w:basedOn w:val="Normal"/>
    <w:next w:val="Style18"/>
    <w:qFormat/>
    <w:pPr>
      <w:spacing w:lineRule="atLeast" w:line="289"/>
      <w:ind w:hanging="0" w:start="0" w:end="0"/>
      <w:jc w:val="center"/>
      <w:textAlignment w:val="baseline"/>
    </w:pPr>
    <w:rPr>
      <w:rFonts w:ascii="Times New Roman" w:hAnsi="Times New Roman" w:eastAsia="宋体"/>
      <w:b w:val="false"/>
      <w:i w:val="false"/>
      <w:strike w:val="false"/>
      <w:dstrike w:val="false"/>
      <w:color w:val="000000"/>
      <w:position w:val="0"/>
      <w:sz w:val="28"/>
      <w:u w:val="none" w:color="000000"/>
      <w:vertAlign w:val="baseline"/>
    </w:rPr>
  </w:style>
  <w:style w:type="paragraph" w:styleId="Style20">
    <w:name w:val="文章附标题"/>
    <w:basedOn w:val="Normal"/>
    <w:next w:val="Style17"/>
    <w:qFormat/>
    <w:pPr>
      <w:spacing w:lineRule="atLeast" w:line="374" w:before="187" w:after="175"/>
      <w:ind w:hanging="0" w:start="0" w:end="0"/>
      <w:jc w:val="center"/>
      <w:textAlignment w:val="baseline"/>
    </w:pPr>
    <w:rPr>
      <w:rFonts w:ascii="Times New Roman" w:hAnsi="Times New Roman" w:eastAsia="宋体"/>
      <w:b w:val="false"/>
      <w:i w:val="false"/>
      <w:strike w:val="false"/>
      <w:dstrike w:val="false"/>
      <w:color w:val="000000"/>
      <w:position w:val="0"/>
      <w:sz w:val="36"/>
      <w:u w:val="none" w:color="000000"/>
      <w:vertAlign w:val="baseline"/>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847">
    <w:name w:val="847"/>
    <w:basedOn w:val="Normal"/>
    <w:qFormat/>
    <w:pPr>
      <w:spacing w:lineRule="atLeast" w:line="351" w:before="436" w:after="357"/>
      <w:ind w:firstLine="419" w:start="0" w:end="0"/>
      <w:jc w:val="center"/>
      <w:textAlignment w:val="baseline"/>
    </w:pPr>
    <w:rPr>
      <w:rFonts w:ascii="Times New Roman" w:hAnsi="Times New Roman" w:eastAsia="宋体"/>
      <w:b w:val="false"/>
      <w:i w:val="false"/>
      <w:strike w:val="false"/>
      <w:dstrike w:val="false"/>
      <w:color w:val="000000"/>
      <w:position w:val="0"/>
      <w:sz w:val="71"/>
      <w:u w:val="none" w:color="000000"/>
      <w:vertAlign w:val="baseline"/>
    </w:rPr>
  </w:style>
  <w:style w:type="paragraph" w:styleId="3">
    <w:name w:val="目录3"/>
    <w:basedOn w:val="Normal"/>
    <w:next w:val="Normal"/>
    <w:qFormat/>
    <w:pPr>
      <w:tabs>
        <w:tab w:val="clear" w:pos="420"/>
        <w:tab w:val="left" w:pos="8503" w:leader="dot"/>
      </w:tabs>
      <w:spacing w:lineRule="atLeast" w:line="317"/>
      <w:ind w:firstLine="419" w:start="0" w:end="0"/>
      <w:jc w:val="both"/>
      <w:textAlignment w:val="baseline"/>
    </w:pPr>
    <w:rPr>
      <w:rFonts w:ascii="Times New Roman" w:hAnsi="Times New Roman" w:eastAsia="宋体"/>
      <w:b w:val="false"/>
      <w:i w:val="false"/>
      <w:strike w:val="false"/>
      <w:dstrike w:val="false"/>
      <w:color w:val="000000"/>
      <w:position w:val="0"/>
      <w:sz w:val="21"/>
      <w:u w:val="none" w:color="000000"/>
      <w:vertAlign w:val="baseline"/>
    </w:rPr>
  </w:style>
  <w:style w:type="paragraph" w:styleId="4">
    <w:name w:val="目录4"/>
    <w:basedOn w:val="Normal"/>
    <w:next w:val="Normal"/>
    <w:qFormat/>
    <w:pPr>
      <w:tabs>
        <w:tab w:val="clear" w:pos="420"/>
        <w:tab w:val="left" w:pos="8503" w:leader="dot"/>
      </w:tabs>
      <w:spacing w:lineRule="atLeast" w:line="317"/>
      <w:ind w:firstLine="629" w:start="0" w:end="0"/>
      <w:jc w:val="both"/>
      <w:textAlignment w:val="baseline"/>
    </w:pPr>
    <w:rPr>
      <w:rFonts w:ascii="Times New Roman" w:hAnsi="Times New Roman" w:eastAsia="宋体"/>
      <w:b w:val="false"/>
      <w:i w:val="false"/>
      <w:strike w:val="false"/>
      <w:dstrike w:val="false"/>
      <w:color w:val="000000"/>
      <w:position w:val="0"/>
      <w:sz w:val="21"/>
      <w:u w:val="none" w:color="000000"/>
      <w:vertAlign w:val="baseline"/>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2014-12-30T15:16:00Z</dcterms:created>
  <dc:creator>User</dc:creator>
  <dc:description/>
  <dc:language>en-US</dc:language>
  <cp:lastModifiedBy>Administrator</cp:lastModifiedBy>
  <cp:lastPrinted>2019-08-02T10:24:00Z</cp:lastPrinted>
  <dcterms:modified xsi:type="dcterms:W3CDTF">2019-08-07T16:52:57Z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