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false"/>
        <w:bidi w:val="0"/>
        <w:snapToGrid w:val="false"/>
        <w:spacing w:lineRule="atLeast" w:line="640"/>
        <w:ind w:firstLineChars="0" w:firstLine="0" w:startChars="400" w:endChars="400"/>
        <w:jc w:val="center"/>
        <w:textAlignment w:val="baseline"/>
        <w:rPr>
          <w:rFonts w:ascii="仿宋" w:hAnsi="仿宋" w:eastAsia="仿宋" w:cs="仿宋" w:hint="eastAsia"/>
          <w:kern w:val="0"/>
          <w:sz w:val="32"/>
          <w:szCs w:val="32"/>
        </w:rPr>
      </w:pPr>
      <w:r>
        <w:rPr>
          <w:rFonts w:eastAsia="仿宋" w:cs="仿宋" w:hint="eastAsia" w:ascii="仿宋" w:hAnsi="仿宋"/>
          <w:kern w:val="0"/>
          <w:sz w:val="32"/>
          <w:szCs w:val="32"/>
        </w:rPr>
      </w:r>
    </w:p>
    <w:p>
      <w:pPr>
        <w:pStyle w:val="Heading"/>
        <w:jc w:val="center"/>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keepNext w:val="false"/>
        <w:keepLines w:val="false"/>
        <w:pageBreakBefore w:val="false"/>
        <w:kinsoku w:val="true"/>
        <w:overflowPunct w:val="true"/>
        <w:autoSpaceDE w:val="false"/>
        <w:bidi w:val="0"/>
        <w:snapToGrid w:val="false"/>
        <w:spacing w:lineRule="atLeast" w:line="640"/>
        <w:jc w:val="center"/>
        <w:textAlignment w:val="baseline"/>
        <w:rPr>
          <w:rFonts w:ascii="宋体" w:hAnsi="宋体" w:eastAsia="宋体" w:cs="Times New Roman"/>
          <w:b w:val="false"/>
          <w:bCs w:val="false"/>
          <w:kern w:val="0"/>
          <w:sz w:val="44"/>
          <w:szCs w:val="44"/>
        </w:rPr>
      </w:pPr>
      <w:r>
        <w:rPr>
          <w:rFonts w:ascii="宋体" w:hAnsi="宋体" w:cs="Times New Roman" w:hint="eastAsia"/>
          <w:b w:val="false"/>
          <w:bCs w:val="false"/>
          <w:kern w:val="0"/>
          <w:sz w:val="44"/>
          <w:szCs w:val="44"/>
        </w:rPr>
        <w:t>太原市晋阳湖生态保护与修复条例</w:t>
      </w:r>
    </w:p>
    <w:p>
      <w:pPr>
        <w:pStyle w:val="Normal"/>
        <w:keepNext w:val="false"/>
        <w:keepLines w:val="false"/>
        <w:pageBreakBefore w:val="false"/>
        <w:widowControl w:val="false"/>
        <w:kinsoku w:val="true"/>
        <w:overflowPunct w:val="true"/>
        <w:autoSpaceDE w:val="false"/>
        <w:bidi w:val="0"/>
        <w:snapToGrid w:val="false"/>
        <w:spacing w:lineRule="atLeast" w:line="640"/>
        <w:ind w:firstLineChars="0" w:firstLine="0" w:startChars="400" w:endChars="400"/>
        <w:jc w:val="both"/>
        <w:textAlignment w:val="baseline"/>
        <w:rPr>
          <w:rFonts w:ascii="楷体" w:hAnsi="楷体" w:eastAsia="楷体" w:cs="楷体" w:hint="eastAsia"/>
          <w:b w:val="false"/>
          <w:bCs w:val="false"/>
          <w:kern w:val="0"/>
          <w:sz w:val="32"/>
          <w:szCs w:val="32"/>
        </w:rPr>
      </w:pPr>
      <w:r>
        <w:rPr>
          <w:rFonts w:eastAsia="楷体" w:cs="楷体" w:hint="eastAsia" w:ascii="楷体" w:hAnsi="楷体"/>
          <w:b w:val="false"/>
          <w:bCs w:val="false"/>
          <w:kern w:val="0"/>
          <w:sz w:val="32"/>
          <w:szCs w:val="32"/>
        </w:rPr>
      </w:r>
    </w:p>
    <w:p>
      <w:pPr>
        <w:pStyle w:val="Normal"/>
        <w:keepNext w:val="false"/>
        <w:keepLines w:val="false"/>
        <w:pageBreakBefore w:val="false"/>
        <w:widowControl w:val="false"/>
        <w:kinsoku w:val="true"/>
        <w:overflowPunct w:val="true"/>
        <w:autoSpaceDE w:val="false"/>
        <w:bidi w:val="0"/>
        <w:snapToGrid w:val="false"/>
        <w:spacing w:lineRule="atLeast" w:line="640"/>
        <w:ind w:firstLineChars="0" w:firstLine="0" w:startChars="400" w:endChars="400"/>
        <w:jc w:val="both"/>
        <w:textAlignment w:val="baseline"/>
        <w:rPr>
          <w:rFonts w:ascii="楷体" w:hAnsi="楷体" w:eastAsia="楷体" w:cs="楷体" w:hint="eastAsia"/>
          <w:kern w:val="0"/>
          <w:sz w:val="32"/>
          <w:szCs w:val="32"/>
        </w:rPr>
      </w:pPr>
      <w:r>
        <w:rPr>
          <w:rFonts w:ascii="楷体" w:hAnsi="楷体" w:cs="楷体" w:hint="eastAsia" w:eastAsia="楷体"/>
          <w:kern w:val="0"/>
          <w:sz w:val="32"/>
          <w:szCs w:val="32"/>
        </w:rPr>
        <w:t>（</w:t>
      </w:r>
      <w:r>
        <w:rPr>
          <w:rFonts w:eastAsia="楷体" w:cs="楷体" w:hint="eastAsia" w:ascii="楷体" w:hAnsi="楷体"/>
          <w:kern w:val="0"/>
          <w:sz w:val="32"/>
          <w:szCs w:val="32"/>
        </w:rPr>
        <w:t>2021</w:t>
      </w:r>
      <w:r>
        <w:rPr>
          <w:rFonts w:ascii="楷体" w:hAnsi="楷体" w:cs="楷体" w:hint="eastAsia" w:eastAsia="楷体"/>
          <w:kern w:val="0"/>
          <w:sz w:val="32"/>
          <w:szCs w:val="32"/>
        </w:rPr>
        <w:t>年</w:t>
      </w:r>
      <w:r>
        <w:rPr>
          <w:rFonts w:eastAsia="楷体" w:cs="楷体" w:hint="eastAsia" w:ascii="楷体" w:hAnsi="楷体"/>
          <w:kern w:val="0"/>
          <w:sz w:val="32"/>
          <w:szCs w:val="32"/>
        </w:rPr>
        <w:t>8</w:t>
      </w:r>
      <w:r>
        <w:rPr>
          <w:rFonts w:ascii="楷体" w:hAnsi="楷体" w:cs="楷体" w:hint="eastAsia" w:eastAsia="楷体"/>
          <w:kern w:val="0"/>
          <w:sz w:val="32"/>
          <w:szCs w:val="32"/>
        </w:rPr>
        <w:t>月</w:t>
      </w:r>
      <w:r>
        <w:rPr>
          <w:rFonts w:eastAsia="楷体" w:cs="楷体" w:hint="eastAsia" w:ascii="楷体" w:hAnsi="楷体"/>
          <w:kern w:val="0"/>
          <w:sz w:val="32"/>
          <w:szCs w:val="32"/>
        </w:rPr>
        <w:t>27</w:t>
      </w:r>
      <w:r>
        <w:rPr>
          <w:rFonts w:ascii="楷体" w:hAnsi="楷体" w:cs="楷体" w:hint="eastAsia" w:eastAsia="楷体"/>
          <w:kern w:val="0"/>
          <w:sz w:val="32"/>
          <w:szCs w:val="32"/>
        </w:rPr>
        <w:t xml:space="preserve">日太原市第十四届人民代表大会常务委员会第四十七次会议通过  </w:t>
      </w:r>
      <w:r>
        <w:rPr>
          <w:rFonts w:eastAsia="楷体" w:cs="楷体" w:hint="eastAsia" w:ascii="楷体" w:hAnsi="楷体"/>
          <w:kern w:val="0"/>
          <w:sz w:val="32"/>
          <w:szCs w:val="32"/>
        </w:rPr>
        <w:t>2021</w:t>
      </w:r>
      <w:r>
        <w:rPr>
          <w:rFonts w:ascii="楷体" w:hAnsi="楷体" w:cs="楷体" w:hint="eastAsia" w:eastAsia="楷体"/>
          <w:kern w:val="0"/>
          <w:sz w:val="32"/>
          <w:szCs w:val="32"/>
        </w:rPr>
        <w:t>年</w:t>
      </w:r>
      <w:r>
        <w:rPr>
          <w:rFonts w:eastAsia="楷体" w:cs="楷体" w:hint="eastAsia" w:ascii="楷体" w:hAnsi="楷体"/>
          <w:kern w:val="0"/>
          <w:sz w:val="32"/>
          <w:szCs w:val="32"/>
        </w:rPr>
        <w:t>9</w:t>
      </w:r>
      <w:r>
        <w:rPr>
          <w:rFonts w:ascii="楷体" w:hAnsi="楷体" w:cs="楷体" w:hint="eastAsia" w:eastAsia="楷体"/>
          <w:kern w:val="0"/>
          <w:sz w:val="32"/>
          <w:szCs w:val="32"/>
        </w:rPr>
        <w:t>月</w:t>
      </w:r>
      <w:r>
        <w:rPr>
          <w:rFonts w:eastAsia="楷体" w:cs="楷体" w:hint="eastAsia" w:ascii="楷体" w:hAnsi="楷体"/>
          <w:kern w:val="0"/>
          <w:sz w:val="32"/>
          <w:szCs w:val="32"/>
        </w:rPr>
        <w:t>29</w:t>
      </w:r>
      <w:r>
        <w:rPr>
          <w:rFonts w:ascii="楷体" w:hAnsi="楷体" w:cs="楷体" w:hint="eastAsia" w:eastAsia="楷体"/>
          <w:kern w:val="0"/>
          <w:sz w:val="32"/>
          <w:szCs w:val="32"/>
        </w:rPr>
        <w:t>日山西省第十三届人民代表大会常务委员会第三十一次会议批准</w:t>
      </w:r>
      <w:r>
        <w:rPr>
          <w:rFonts w:eastAsia="楷体" w:cs="楷体" w:hint="eastAsia" w:ascii="楷体" w:hAnsi="楷体"/>
          <w:kern w:val="0"/>
          <w:sz w:val="32"/>
          <w:szCs w:val="32"/>
        </w:rPr>
        <w:t>)</w:t>
      </w:r>
    </w:p>
    <w:p>
      <w:pPr>
        <w:pStyle w:val="Normal"/>
        <w:keepNext w:val="false"/>
        <w:keepLines w:val="false"/>
        <w:pageBreakBefore w:val="false"/>
        <w:widowControl w:val="false"/>
        <w:kinsoku w:val="true"/>
        <w:overflowPunct w:val="true"/>
        <w:autoSpaceDE w:val="false"/>
        <w:bidi w:val="0"/>
        <w:snapToGrid w:val="false"/>
        <w:spacing w:lineRule="atLeast" w:line="640"/>
        <w:jc w:val="both"/>
        <w:textAlignment w:val="baseline"/>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kinsoku w:val="true"/>
        <w:overflowPunct w:val="true"/>
        <w:autoSpaceDE w:val="false"/>
        <w:bidi w:val="0"/>
        <w:snapToGrid w:val="false"/>
        <w:spacing w:lineRule="atLeast" w:line="640"/>
        <w:jc w:val="center"/>
        <w:textAlignment w:val="baseline"/>
        <w:rPr>
          <w:rFonts w:ascii="楷体" w:hAnsi="楷体" w:eastAsia="楷体" w:cs="楷体" w:hint="eastAsia"/>
          <w:bCs/>
          <w:kern w:val="0"/>
          <w:sz w:val="32"/>
          <w:szCs w:val="32"/>
        </w:rPr>
      </w:pPr>
      <w:r>
        <w:rPr>
          <w:rFonts w:ascii="楷体" w:hAnsi="楷体" w:cs="楷体" w:hint="eastAsia" w:eastAsia="楷体"/>
          <w:bCs/>
          <w:kern w:val="0"/>
          <w:sz w:val="32"/>
          <w:szCs w:val="32"/>
        </w:rPr>
        <w:t>目  录</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一</w:t>
      </w:r>
      <w:r>
        <w:rPr>
          <w:rFonts w:ascii="楷体" w:hAnsi="楷体" w:cs="楷体" w:hint="eastAsia" w:eastAsia="楷体"/>
          <w:bCs/>
          <w:kern w:val="0"/>
          <w:sz w:val="32"/>
          <w:szCs w:val="32"/>
        </w:rPr>
        <w:t>章  总  则</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spacing w:val="-14"/>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二</w:t>
      </w:r>
      <w:r>
        <w:rPr>
          <w:rFonts w:ascii="楷体" w:hAnsi="楷体" w:cs="楷体" w:hint="eastAsia" w:eastAsia="楷体"/>
          <w:bCs/>
          <w:kern w:val="0"/>
          <w:sz w:val="32"/>
          <w:szCs w:val="32"/>
        </w:rPr>
        <w:t>章  规</w:t>
      </w:r>
      <w:r>
        <w:rPr>
          <w:rFonts w:ascii="楷体" w:hAnsi="楷体" w:cs="楷体" w:hint="eastAsia" w:eastAsia="楷体"/>
          <w:bCs/>
          <w:spacing w:val="-3"/>
          <w:kern w:val="0"/>
          <w:sz w:val="32"/>
          <w:szCs w:val="32"/>
        </w:rPr>
        <w:t>划</w:t>
      </w:r>
      <w:r>
        <w:rPr>
          <w:rFonts w:ascii="楷体" w:hAnsi="楷体" w:cs="楷体" w:hint="eastAsia" w:eastAsia="楷体"/>
          <w:bCs/>
          <w:kern w:val="0"/>
          <w:sz w:val="32"/>
          <w:szCs w:val="32"/>
        </w:rPr>
        <w:t>建设</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三</w:t>
      </w:r>
      <w:r>
        <w:rPr>
          <w:rFonts w:ascii="楷体" w:hAnsi="楷体" w:cs="楷体" w:hint="eastAsia" w:eastAsia="楷体"/>
          <w:bCs/>
          <w:kern w:val="0"/>
          <w:sz w:val="32"/>
          <w:szCs w:val="32"/>
        </w:rPr>
        <w:t>章  生</w:t>
      </w:r>
      <w:r>
        <w:rPr>
          <w:rFonts w:ascii="楷体" w:hAnsi="楷体" w:cs="楷体" w:hint="eastAsia" w:eastAsia="楷体"/>
          <w:bCs/>
          <w:spacing w:val="-3"/>
          <w:kern w:val="0"/>
          <w:sz w:val="32"/>
          <w:szCs w:val="32"/>
        </w:rPr>
        <w:t>态</w:t>
      </w:r>
      <w:r>
        <w:rPr>
          <w:rFonts w:ascii="楷体" w:hAnsi="楷体" w:cs="楷体" w:hint="eastAsia" w:eastAsia="楷体"/>
          <w:bCs/>
          <w:kern w:val="0"/>
          <w:sz w:val="32"/>
          <w:szCs w:val="32"/>
        </w:rPr>
        <w:t xml:space="preserve">保护  </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color w:val="FF0000"/>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四</w:t>
      </w:r>
      <w:r>
        <w:rPr>
          <w:rFonts w:ascii="楷体" w:hAnsi="楷体" w:cs="楷体" w:hint="eastAsia" w:eastAsia="楷体"/>
          <w:bCs/>
          <w:kern w:val="0"/>
          <w:sz w:val="32"/>
          <w:szCs w:val="32"/>
        </w:rPr>
        <w:t>章  生</w:t>
      </w:r>
      <w:r>
        <w:rPr>
          <w:rFonts w:ascii="楷体" w:hAnsi="楷体" w:cs="楷体" w:hint="eastAsia" w:eastAsia="楷体"/>
          <w:bCs/>
          <w:spacing w:val="-3"/>
          <w:kern w:val="0"/>
          <w:sz w:val="32"/>
          <w:szCs w:val="32"/>
        </w:rPr>
        <w:t>态</w:t>
      </w:r>
      <w:r>
        <w:rPr>
          <w:rFonts w:ascii="楷体" w:hAnsi="楷体" w:cs="楷体" w:hint="eastAsia" w:eastAsia="楷体"/>
          <w:bCs/>
          <w:kern w:val="0"/>
          <w:sz w:val="32"/>
          <w:szCs w:val="32"/>
        </w:rPr>
        <w:t>修复</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spacing w:val="-13"/>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五</w:t>
      </w:r>
      <w:r>
        <w:rPr>
          <w:rFonts w:ascii="楷体" w:hAnsi="楷体" w:cs="楷体" w:hint="eastAsia" w:eastAsia="楷体"/>
          <w:bCs/>
          <w:kern w:val="0"/>
          <w:sz w:val="32"/>
          <w:szCs w:val="32"/>
        </w:rPr>
        <w:t>章  监督管理</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spacing w:val="-15"/>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六</w:t>
      </w:r>
      <w:r>
        <w:rPr>
          <w:rFonts w:ascii="楷体" w:hAnsi="楷体" w:cs="楷体" w:hint="eastAsia" w:eastAsia="楷体"/>
          <w:bCs/>
          <w:kern w:val="0"/>
          <w:sz w:val="32"/>
          <w:szCs w:val="32"/>
        </w:rPr>
        <w:t>章  法</w:t>
      </w:r>
      <w:r>
        <w:rPr>
          <w:rFonts w:ascii="楷体" w:hAnsi="楷体" w:cs="楷体" w:hint="eastAsia" w:eastAsia="楷体"/>
          <w:bCs/>
          <w:spacing w:val="-3"/>
          <w:kern w:val="0"/>
          <w:sz w:val="32"/>
          <w:szCs w:val="32"/>
        </w:rPr>
        <w:t>律</w:t>
      </w:r>
      <w:r>
        <w:rPr>
          <w:rFonts w:ascii="楷体" w:hAnsi="楷体" w:cs="楷体" w:hint="eastAsia" w:eastAsia="楷体"/>
          <w:bCs/>
          <w:kern w:val="0"/>
          <w:sz w:val="32"/>
          <w:szCs w:val="32"/>
        </w:rPr>
        <w:t>责</w:t>
      </w:r>
      <w:r>
        <w:rPr>
          <w:rFonts w:ascii="楷体" w:hAnsi="楷体" w:cs="楷体" w:hint="eastAsia" w:eastAsia="楷体"/>
          <w:bCs/>
          <w:spacing w:val="-15"/>
          <w:kern w:val="0"/>
          <w:sz w:val="32"/>
          <w:szCs w:val="32"/>
        </w:rPr>
        <w:t>任</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楷体" w:hAnsi="楷体" w:eastAsia="楷体" w:cs="楷体" w:hint="eastAsia"/>
          <w:bCs/>
          <w:kern w:val="0"/>
          <w:sz w:val="32"/>
          <w:szCs w:val="32"/>
        </w:rPr>
      </w:pPr>
      <w:r>
        <w:rPr>
          <w:rFonts w:ascii="楷体" w:hAnsi="楷体" w:cs="楷体" w:hint="eastAsia" w:eastAsia="楷体"/>
          <w:bCs/>
          <w:kern w:val="0"/>
          <w:sz w:val="32"/>
          <w:szCs w:val="32"/>
        </w:rPr>
        <w:t>第</w:t>
      </w:r>
      <w:r>
        <w:rPr>
          <w:rFonts w:ascii="楷体" w:hAnsi="楷体" w:cs="楷体" w:hint="eastAsia" w:eastAsia="楷体"/>
          <w:bCs/>
          <w:spacing w:val="-3"/>
          <w:kern w:val="0"/>
          <w:sz w:val="32"/>
          <w:szCs w:val="32"/>
        </w:rPr>
        <w:t>七</w:t>
      </w:r>
      <w:r>
        <w:rPr>
          <w:rFonts w:ascii="楷体" w:hAnsi="楷体" w:cs="楷体" w:hint="eastAsia" w:eastAsia="楷体"/>
          <w:bCs/>
          <w:kern w:val="0"/>
          <w:sz w:val="32"/>
          <w:szCs w:val="32"/>
        </w:rPr>
        <w:t>章  附  则</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eastAsia="仿宋" w:cs="Times New Roman" w:hint="eastAsia" w:ascii="仿宋" w:hAnsi="仿宋"/>
          <w:kern w:val="0"/>
          <w:sz w:val="32"/>
          <w:szCs w:val="32"/>
        </w:rPr>
        <w:t xml:space="preserve"> </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jc w:val="center"/>
        <w:textAlignment w:val="baseline"/>
        <w:rPr>
          <w:rFonts w:ascii="黑体" w:hAnsi="黑体" w:eastAsia="黑体" w:cs="Times New Roman" w:hint="eastAsia"/>
          <w:bCs/>
          <w:spacing w:val="53"/>
          <w:kern w:val="0"/>
          <w:sz w:val="32"/>
          <w:szCs w:val="32"/>
        </w:rPr>
      </w:pPr>
      <w:r>
        <w:rPr>
          <w:rFonts w:ascii="黑体" w:hAnsi="黑体" w:cs="Times New Roman" w:hint="eastAsia" w:eastAsia="黑体"/>
          <w:bCs/>
          <w:spacing w:val="-1"/>
          <w:kern w:val="0"/>
          <w:sz w:val="32"/>
          <w:szCs w:val="32"/>
        </w:rPr>
        <w:t xml:space="preserve">第一章  </w:t>
      </w:r>
      <w:r>
        <w:rPr>
          <w:rFonts w:ascii="黑体" w:hAnsi="黑体" w:cs="Times New Roman" w:hint="eastAsia" w:eastAsia="黑体"/>
          <w:bCs/>
          <w:spacing w:val="53"/>
          <w:kern w:val="0"/>
          <w:sz w:val="32"/>
          <w:szCs w:val="32"/>
        </w:rPr>
        <w:t>总 则</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黑体" w:hAnsi="黑体" w:eastAsia="黑体" w:cs="Times New Roman" w:hint="eastAsia"/>
          <w:bCs/>
          <w:spacing w:val="53"/>
          <w:kern w:val="0"/>
          <w:sz w:val="32"/>
          <w:szCs w:val="32"/>
        </w:rPr>
      </w:pPr>
      <w:r>
        <w:rPr>
          <w:rFonts w:eastAsia="黑体" w:cs="Times New Roman" w:hint="eastAsia" w:ascii="黑体" w:hAnsi="黑体"/>
          <w:bCs/>
          <w:spacing w:val="53"/>
          <w:kern w:val="0"/>
          <w:sz w:val="32"/>
          <w:szCs w:val="32"/>
        </w:rPr>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第一条</w:t>
      </w:r>
      <w:r>
        <w:rPr>
          <w:rFonts w:ascii="仿宋" w:hAnsi="仿宋" w:cs="Times New Roman" w:hint="eastAsia" w:eastAsia="仿宋"/>
          <w:bCs/>
          <w:kern w:val="0"/>
          <w:sz w:val="32"/>
          <w:szCs w:val="32"/>
        </w:rPr>
        <w:t xml:space="preserve"> </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为了加强晋阳湖生态保护与修复，维护晋阳湖生态功能，推进生态文明建设，促进经济社会高质量发展，根据有关法律法规，结合本市实际，制定本条例。</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晋阳湖保护区内规划建设、生态保护与修复及其监督管理等适用本条例。</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第三条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晋阳湖生态保护与修复工作应当坚持治山、治水、治气、治城一体推进，遵循统一规划、生态为本、保护优先、科学修复、合理利用的原则。</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第四条</w:t>
      </w:r>
      <w:r>
        <w:rPr>
          <w:rFonts w:ascii="仿宋" w:hAnsi="仿宋" w:cs="Times New Roman" w:eastAsia="仿宋"/>
          <w:b/>
          <w:bCs/>
          <w:kern w:val="0"/>
          <w:sz w:val="32"/>
          <w:szCs w:val="32"/>
        </w:rPr>
        <w:t xml:space="preserve">  </w:t>
      </w:r>
      <w:r>
        <w:rPr>
          <w:rFonts w:ascii="仿宋" w:hAnsi="仿宋" w:cs="Times New Roman" w:hint="eastAsia" w:eastAsia="仿宋"/>
          <w:kern w:val="0"/>
          <w:sz w:val="32"/>
          <w:szCs w:val="32"/>
        </w:rPr>
        <w:t>市人民政府应当加强对晋阳湖生态保护与修复工作的领导，建立联席会议制度，统筹协调晋阳湖生态保护与修复工作中的重大事项。</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市人民政府应当把晋阳湖生态保护与修复工作纳入国民经济和社会发展规划，将晋阳湖生态保护、修复以及信息化建设等经费列入本级财政预算。</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市人民政府应当构建多元化投资机制，鼓励引导社会资本参与晋阳湖生态保护与修复的建设和运营。</w:t>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firstLineChars="200" w:startChars="0" w:start="0" w:endChars="0" w:end="0"/>
        <w:textAlignment w:val="baseline"/>
        <w:outlineLvl w:val="0"/>
        <w:rPr>
          <w:rFonts w:ascii="仿宋" w:hAnsi="仿宋" w:eastAsia="仿宋" w:cs="Times New Roman"/>
          <w:b/>
          <w:bCs/>
          <w:kern w:val="0"/>
          <w:sz w:val="32"/>
          <w:szCs w:val="32"/>
        </w:rPr>
      </w:pPr>
      <w:r>
        <w:rPr>
          <w:rFonts w:ascii="黑体" w:hAnsi="黑体" w:cs="Times New Roman" w:hint="eastAsia" w:eastAsia="黑体"/>
          <w:bCs/>
          <w:kern w:val="0"/>
          <w:sz w:val="32"/>
          <w:szCs w:val="32"/>
        </w:rPr>
        <w:t>第五条</w:t>
      </w:r>
      <w:r>
        <w:rPr>
          <w:rFonts w:ascii="仿宋" w:hAnsi="仿宋" w:cs="Times New Roman" w:hint="eastAsia" w:eastAsia="仿宋"/>
          <w:bCs/>
          <w:kern w:val="0"/>
          <w:sz w:val="32"/>
          <w:szCs w:val="32"/>
        </w:rPr>
        <w:t xml:space="preserve"> </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市人民政府水务、园林、规划和自然资源、生态环境、农业农村、文旅等部门应当按照下列规定，做好晋阳湖生态保护与修复工作：</w:t>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firstLineChars="200" w:startChars="0" w:start="0" w:endChars="0" w:end="0"/>
        <w:textAlignment w:val="baseline"/>
        <w:outlineLvl w:val="0"/>
        <w:rPr>
          <w:rFonts w:ascii="仿宋" w:hAnsi="仿宋" w:eastAsia="仿宋" w:cs="Times New Roman"/>
          <w:kern w:val="0"/>
          <w:sz w:val="32"/>
          <w:szCs w:val="32"/>
        </w:rPr>
      </w:pPr>
      <w:r>
        <w:rPr>
          <w:rFonts w:ascii="仿宋" w:hAnsi="仿宋" w:cs="Times New Roman" w:hint="eastAsia" w:eastAsia="仿宋"/>
          <w:kern w:val="0"/>
          <w:sz w:val="32"/>
          <w:szCs w:val="32"/>
        </w:rPr>
        <w:t>（一）市水务部门负责水资源保护、水量保障、水利设施、水利工程、水土保持和节约用水等工作；</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（二）市园林部门负责管理范围内湖泊治理</w:t>
      </w:r>
      <w:r>
        <w:rPr>
          <w:rFonts w:ascii="仿宋" w:hAnsi="仿宋" w:cs="黑体" w:hint="eastAsia" w:eastAsia="仿宋"/>
          <w:kern w:val="0"/>
          <w:sz w:val="32"/>
          <w:szCs w:val="32"/>
        </w:rPr>
        <w:t>、</w:t>
      </w:r>
      <w:r>
        <w:rPr>
          <w:rFonts w:ascii="仿宋" w:hAnsi="仿宋" w:cs="Times New Roman" w:hint="eastAsia" w:eastAsia="仿宋"/>
          <w:kern w:val="0"/>
          <w:sz w:val="32"/>
          <w:szCs w:val="32"/>
        </w:rPr>
        <w:t xml:space="preserve">城市绿化、公园建设等工作； </w:t>
      </w:r>
    </w:p>
    <w:p>
      <w:pPr>
        <w:pStyle w:val="Normal"/>
        <w:keepNext w:val="false"/>
        <w:keepLines w:val="false"/>
        <w:pageBreakBefore w:val="false"/>
        <w:kinsoku w:val="true"/>
        <w:overflowPunct w:val="true"/>
        <w:bidi w:val="0"/>
        <w:snapToGrid w:val="false"/>
        <w:spacing w:lineRule="atLeast" w:line="640"/>
        <w:ind w:firstLineChars="200" w:startChars="0" w:start="0" w:endChars="0" w:end="0"/>
        <w:jc w:val="start"/>
        <w:rPr>
          <w:rFonts w:ascii="仿宋" w:hAnsi="仿宋" w:eastAsia="仿宋" w:cs="Times New Roman"/>
          <w:kern w:val="0"/>
          <w:sz w:val="32"/>
          <w:szCs w:val="32"/>
        </w:rPr>
      </w:pPr>
      <w:r>
        <w:rPr>
          <w:rFonts w:ascii="仿宋" w:hAnsi="仿宋" w:cs="Times New Roman" w:hint="eastAsia" w:eastAsia="仿宋"/>
          <w:kern w:val="0"/>
          <w:sz w:val="32"/>
          <w:szCs w:val="32"/>
        </w:rPr>
        <w:t>（三）市规划和自然资源部门负责国土资源、森林资源、草原资源、陆生野生动植物资源、湿地资源的保护、利用和监督管理，组织开展植树造林、退耕还林还草等工作；</w:t>
      </w:r>
    </w:p>
    <w:p>
      <w:pPr>
        <w:pStyle w:val="Normal"/>
        <w:keepNext w:val="false"/>
        <w:keepLines w:val="false"/>
        <w:pageBreakBefore w:val="false"/>
        <w:kinsoku w:val="true"/>
        <w:overflowPunct w:val="true"/>
        <w:bidi w:val="0"/>
        <w:snapToGrid w:val="false"/>
        <w:spacing w:lineRule="atLeast" w:line="640"/>
        <w:ind w:firstLineChars="200" w:startChars="0" w:start="0" w:endChars="0" w:end="0"/>
        <w:jc w:val="start"/>
        <w:rPr>
          <w:rFonts w:ascii="仿宋" w:hAnsi="仿宋" w:eastAsia="仿宋" w:cs="Times New Roman"/>
          <w:kern w:val="0"/>
          <w:sz w:val="32"/>
          <w:szCs w:val="32"/>
        </w:rPr>
      </w:pPr>
      <w:r>
        <w:rPr>
          <w:rFonts w:ascii="仿宋" w:hAnsi="仿宋" w:cs="Times New Roman" w:hint="eastAsia" w:eastAsia="仿宋"/>
          <w:kern w:val="0"/>
          <w:sz w:val="32"/>
          <w:szCs w:val="32"/>
        </w:rPr>
        <w:t>（四）市生态环境部门负责环境影响评价</w:t>
      </w:r>
      <w:r>
        <w:rPr>
          <w:rFonts w:ascii="仿宋" w:hAnsi="仿宋" w:cs="黑体" w:hint="eastAsia" w:eastAsia="仿宋"/>
          <w:kern w:val="0"/>
          <w:sz w:val="32"/>
          <w:szCs w:val="32"/>
        </w:rPr>
        <w:t>、</w:t>
      </w:r>
      <w:r>
        <w:rPr>
          <w:rFonts w:ascii="仿宋" w:hAnsi="仿宋" w:cs="Times New Roman" w:hint="eastAsia" w:eastAsia="仿宋"/>
          <w:kern w:val="0"/>
          <w:sz w:val="32"/>
          <w:szCs w:val="32"/>
        </w:rPr>
        <w:t>环境质量监测、环境污染防治和水质监测等工作；</w:t>
      </w:r>
    </w:p>
    <w:p>
      <w:pPr>
        <w:pStyle w:val="Normal"/>
        <w:keepNext w:val="false"/>
        <w:keepLines w:val="false"/>
        <w:pageBreakBefore w:val="false"/>
        <w:kinsoku w:val="true"/>
        <w:overflowPunct w:val="true"/>
        <w:bidi w:val="0"/>
        <w:snapToGrid w:val="false"/>
        <w:spacing w:lineRule="atLeast" w:line="640"/>
        <w:ind w:firstLineChars="200" w:startChars="0" w:start="0" w:endChars="0" w:end="0"/>
        <w:jc w:val="start"/>
        <w:rPr>
          <w:rFonts w:ascii="仿宋" w:hAnsi="仿宋" w:eastAsia="仿宋" w:cs="Times New Roman"/>
          <w:kern w:val="0"/>
          <w:sz w:val="32"/>
          <w:szCs w:val="32"/>
        </w:rPr>
      </w:pPr>
      <w:r>
        <w:rPr>
          <w:rFonts w:ascii="仿宋" w:hAnsi="仿宋" w:cs="Times New Roman" w:hint="eastAsia" w:eastAsia="仿宋"/>
          <w:kern w:val="0"/>
          <w:sz w:val="32"/>
          <w:szCs w:val="32"/>
        </w:rPr>
        <w:t>（五）市农业农村部门负责农业生物物种资源、水生野生动植物资源的保护，组织开展村居环境整治，控制农业面源污染，指导发展生态农业等工作；</w:t>
      </w:r>
    </w:p>
    <w:p>
      <w:pPr>
        <w:pStyle w:val="Normal"/>
        <w:keepNext w:val="false"/>
        <w:keepLines w:val="false"/>
        <w:pageBreakBefore w:val="false"/>
        <w:kinsoku w:val="true"/>
        <w:overflowPunct w:val="true"/>
        <w:bidi w:val="0"/>
        <w:snapToGrid w:val="false"/>
        <w:spacing w:lineRule="atLeast" w:line="640"/>
        <w:ind w:firstLineChars="200" w:startChars="0" w:start="0" w:endChars="0" w:end="0"/>
        <w:jc w:val="start"/>
        <w:rPr>
          <w:rFonts w:ascii="仿宋" w:hAnsi="仿宋" w:eastAsia="仿宋" w:cs="Times New Roman"/>
          <w:kern w:val="0"/>
          <w:sz w:val="32"/>
          <w:szCs w:val="32"/>
        </w:rPr>
      </w:pPr>
      <w:r>
        <w:rPr>
          <w:rFonts w:ascii="仿宋" w:hAnsi="仿宋" w:cs="Times New Roman" w:hint="eastAsia" w:eastAsia="仿宋"/>
          <w:kern w:val="0"/>
          <w:sz w:val="32"/>
          <w:szCs w:val="32"/>
        </w:rPr>
        <w:t>（六）市文旅部门负责统筹文化和旅游产业等工作。</w:t>
      </w:r>
    </w:p>
    <w:p>
      <w:pPr>
        <w:pStyle w:val="Normal"/>
        <w:keepNext w:val="false"/>
        <w:keepLines w:val="false"/>
        <w:pageBreakBefore w:val="false"/>
        <w:kinsoku w:val="true"/>
        <w:overflowPunct w:val="true"/>
        <w:bidi w:val="0"/>
        <w:snapToGrid w:val="false"/>
        <w:spacing w:lineRule="atLeast" w:line="640"/>
        <w:ind w:firstLineChars="200" w:startChars="0" w:start="0" w:endChars="0" w:end="0"/>
        <w:jc w:val="start"/>
        <w:rPr>
          <w:rFonts w:ascii="仿宋" w:hAnsi="仿宋" w:eastAsia="仿宋" w:cs="Times New Roman"/>
          <w:kern w:val="0"/>
          <w:sz w:val="32"/>
          <w:szCs w:val="32"/>
        </w:rPr>
      </w:pPr>
      <w:r>
        <w:rPr>
          <w:rFonts w:ascii="仿宋" w:hAnsi="仿宋" w:cs="Times New Roman" w:hint="eastAsia" w:eastAsia="仿宋"/>
          <w:kern w:val="0"/>
          <w:sz w:val="32"/>
          <w:szCs w:val="32"/>
        </w:rPr>
        <w:t>市人民政府发展改革、财政、住建、城乡管理、交通运输、应急、文物等部门应当按照各自职责，做好晋阳湖生态保护与修复工作。</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西山生态文化旅游示范区管理委员会应当按照市人民政府的授权，做好晋阳湖生态保护与修复的有关工作。</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第六条</w:t>
      </w:r>
      <w:r>
        <w:rPr>
          <w:rFonts w:ascii="黑体" w:hAnsi="黑体" w:cs="Times New Roman" w:hint="eastAsia" w:eastAsia="黑体"/>
          <w:b/>
          <w:bCs/>
          <w:kern w:val="0"/>
          <w:sz w:val="32"/>
          <w:szCs w:val="32"/>
        </w:rPr>
        <w:t xml:space="preserve">  </w:t>
      </w:r>
      <w:r>
        <w:rPr>
          <w:rFonts w:ascii="仿宋" w:hAnsi="仿宋" w:cs="Times New Roman" w:hint="eastAsia" w:eastAsia="仿宋"/>
          <w:kern w:val="0"/>
          <w:sz w:val="32"/>
          <w:szCs w:val="32"/>
        </w:rPr>
        <w:t>晋阳湖保护区所在地的区人民政府（以下简称区人民政府）及其有关部门应当按照下列规定，做好晋阳湖生态保护与修复工作：</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（一）宣传贯彻生态保护与修复有关法律法规和政策；</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（二）依照职责实施晋阳湖生态保护与修复规划；</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（三）组织落实晋阳湖生态保护与修复的重大决策事项；</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（四）依法开展晋阳湖生态保护与修复行政执法工作，查处有关违法行为；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（五）市人民政府交办的其他工作。</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晋阳湖保护区所在地的镇人民政府、街道办事处应当在上级人民政府的领导下，做好晋阳湖生态保护与修复的有关工作。</w:t>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hint="eastAsia"/>
          <w:kern w:val="0"/>
          <w:sz w:val="32"/>
          <w:szCs w:val="32"/>
        </w:rPr>
      </w:pPr>
      <w:r>
        <w:rPr>
          <w:rFonts w:ascii="黑体" w:hAnsi="黑体" w:cs="黑体" w:hint="eastAsia" w:eastAsia="黑体"/>
          <w:kern w:val="0"/>
          <w:sz w:val="32"/>
          <w:szCs w:val="32"/>
        </w:rPr>
        <w:t>第七条</w:t>
      </w:r>
      <w:r>
        <w:rPr>
          <w:rFonts w:ascii="仿宋" w:hAnsi="仿宋" w:cs="Times New Roman" w:hint="eastAsia" w:eastAsia="仿宋"/>
          <w:kern w:val="0"/>
          <w:sz w:val="32"/>
          <w:szCs w:val="32"/>
        </w:rPr>
        <w:t xml:space="preserve">  市、区人民政府应当组织研究西山自然生态与晋阳</w:t>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hanging="0" w:start="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湖生态保护与修复的关系，协调处理好人工湖保护与水、湿地等生态修复工程建设，有效发挥晋阳湖的自然生态功能。</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市、区人民政府及其有关部门应当加强晋阳湖生态保护与修复的宣传教育，对在晋阳湖生态保护与修复工作中作出显著成绩的单位和个人给予表彰、奖励。</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第八条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任何单位和个人有权对破坏晋阳湖生态环境的行为进行劝阻或者举报。</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市、区人民政府有关部门应当及时受理举报，依法予以处理。</w:t>
      </w:r>
    </w:p>
    <w:p>
      <w:pPr>
        <w:pStyle w:val="Normal"/>
        <w:keepNext w:val="false"/>
        <w:keepLines w:val="false"/>
        <w:pageBreakBefore w:val="false"/>
        <w:numPr>
          <w:ilvl w:val="0"/>
          <w:numId w:val="0"/>
        </w:numPr>
        <w:kinsoku w:val="true"/>
        <w:overflowPunct w:val="true"/>
        <w:autoSpaceDE w:val="false"/>
        <w:bidi w:val="0"/>
        <w:snapToGrid w:val="false"/>
        <w:spacing w:lineRule="atLeast" w:line="640"/>
        <w:jc w:val="center"/>
        <w:textAlignment w:val="baseline"/>
        <w:outlineLvl w:val="0"/>
        <w:rPr>
          <w:rFonts w:ascii="黑体" w:hAnsi="黑体" w:eastAsia="黑体" w:cs="Times New Roman"/>
          <w:b/>
          <w:bCs/>
          <w:kern w:val="0"/>
          <w:sz w:val="32"/>
          <w:szCs w:val="32"/>
        </w:rPr>
      </w:pPr>
      <w:r>
        <w:rPr>
          <w:rFonts w:eastAsia="黑体" w:cs="Times New Roman" w:hint="eastAsia" w:ascii="黑体" w:hAnsi="黑体"/>
          <w:b/>
          <w:bCs/>
          <w:kern w:val="0"/>
          <w:sz w:val="32"/>
          <w:szCs w:val="32"/>
        </w:rPr>
        <w:t xml:space="preserve"> </w:t>
      </w:r>
    </w:p>
    <w:p>
      <w:pPr>
        <w:pStyle w:val="Normal"/>
        <w:keepNext w:val="false"/>
        <w:keepLines w:val="false"/>
        <w:pageBreakBefore w:val="false"/>
        <w:numPr>
          <w:ilvl w:val="0"/>
          <w:numId w:val="0"/>
        </w:numPr>
        <w:kinsoku w:val="true"/>
        <w:overflowPunct w:val="true"/>
        <w:autoSpaceDE w:val="false"/>
        <w:bidi w:val="0"/>
        <w:snapToGrid w:val="false"/>
        <w:spacing w:lineRule="atLeast" w:line="640"/>
        <w:jc w:val="center"/>
        <w:textAlignment w:val="baseline"/>
        <w:outlineLvl w:val="0"/>
        <w:rPr>
          <w:rFonts w:ascii="仿宋" w:hAnsi="仿宋" w:eastAsia="仿宋" w:cs="Times New Roman"/>
          <w:kern w:val="0"/>
          <w:sz w:val="32"/>
          <w:szCs w:val="32"/>
        </w:rPr>
      </w:pPr>
      <w:r>
        <w:rPr>
          <w:rFonts w:ascii="黑体" w:hAnsi="黑体" w:cs="Times New Roman" w:hint="eastAsia" w:eastAsia="黑体"/>
          <w:bCs/>
          <w:kern w:val="0"/>
          <w:sz w:val="32"/>
          <w:szCs w:val="32"/>
        </w:rPr>
        <w:t>第二章  规划建设</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黑体" w:hAnsi="黑体" w:eastAsia="黑体" w:cs="Times New Roman" w:hint="eastAsia"/>
          <w:bCs/>
          <w:kern w:val="0"/>
          <w:sz w:val="32"/>
          <w:szCs w:val="32"/>
        </w:rPr>
      </w:pPr>
      <w:r>
        <w:rPr>
          <w:rFonts w:eastAsia="黑体" w:cs="Times New Roman" w:hint="eastAsia" w:ascii="黑体" w:hAnsi="黑体"/>
          <w:bCs/>
          <w:kern w:val="0"/>
          <w:sz w:val="32"/>
          <w:szCs w:val="32"/>
        </w:rPr>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第九条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市人民政府应当组织水务、园林、规划和自然资源以及其他有关部门编制晋阳湖生态保护与修复规划，并按照规定程序报批后实施。</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经批准的晋阳湖生态保护与修复规划，不得擅自变更；确需变更的，应当按照原审批程序报批。</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晋阳湖生态保护与修复规划应当纳入市国土空间规划。</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晋阳湖保护区天际线管控范围内建筑高度按照晋阳湖生态保护与修复规划的有关规定执行。</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第十一条</w:t>
      </w:r>
      <w:r>
        <w:rPr>
          <w:rFonts w:ascii="仿宋" w:hAnsi="仿宋" w:cs="Times New Roman" w:hint="eastAsia" w:eastAsia="仿宋"/>
          <w:bCs/>
          <w:kern w:val="0"/>
          <w:sz w:val="32"/>
          <w:szCs w:val="32"/>
        </w:rPr>
        <w:t xml:space="preserve"> </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在晋阳湖保护区内新建、改建、扩建工程，应当符合下列要求：</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（一）符合国土空间规划、晋阳湖生态保护与修复规划、水资源保护、海绵城市建设等有关规定，并依法办理环境影响评价和行政许可等手续；</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（二）建设项目的选址、布局、高度、体量、造型和色彩等应当与周围景观和环境相协调；</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（三）按照环境和文物保护有关规定，采取有效措施保护周围自然生态环境和文物古迹；</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（四）法律法规规定的其他要求。</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在晋阳湖保护区内新建、改建、扩建工程，不得影响水工程安全和运行管理，不得损害河流、湖泊及湿地的生态环境。</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第十二条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在晋阳湖保护区内从事建设活动，造成生态破坏的，建设单位应当依法承担生态恢复治理责任。</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第十三条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晋阳湖的开发利用应当以不影响湖区功能和不超过生态环境承载力为前提，开发利用项目应当以生态、文化、旅游、康养、休闲为主。</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eastAsia="仿宋" w:cs="Times New Roman" w:hint="eastAsia" w:ascii="仿宋" w:hAnsi="仿宋"/>
          <w:kern w:val="0"/>
          <w:sz w:val="32"/>
          <w:szCs w:val="32"/>
        </w:rPr>
        <w:t xml:space="preserve"> </w:t>
      </w:r>
    </w:p>
    <w:p>
      <w:pPr>
        <w:pStyle w:val="Normal"/>
        <w:keepNext w:val="false"/>
        <w:keepLines w:val="false"/>
        <w:pageBreakBefore w:val="false"/>
        <w:kinsoku w:val="true"/>
        <w:overflowPunct w:val="true"/>
        <w:autoSpaceDE w:val="false"/>
        <w:bidi w:val="0"/>
        <w:snapToGrid w:val="false"/>
        <w:spacing w:lineRule="atLeast" w:line="640"/>
        <w:jc w:val="center"/>
        <w:textAlignment w:val="baseline"/>
        <w:rPr>
          <w:rFonts w:ascii="黑体" w:hAnsi="黑体" w:eastAsia="黑体" w:cs="Times New Roman"/>
          <w:bCs/>
          <w:kern w:val="0"/>
          <w:sz w:val="32"/>
          <w:szCs w:val="32"/>
        </w:rPr>
      </w:pPr>
      <w:r>
        <w:rPr>
          <w:rFonts w:ascii="黑体" w:hAnsi="黑体" w:cs="Times New Roman" w:hint="eastAsia" w:eastAsia="黑体"/>
          <w:bCs/>
          <w:kern w:val="0"/>
          <w:sz w:val="32"/>
          <w:szCs w:val="32"/>
        </w:rPr>
        <w:t>第三章  生态保护</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黑体" w:hAnsi="黑体" w:eastAsia="黑体" w:cs="Times New Roman" w:hint="eastAsia"/>
          <w:bCs/>
          <w:kern w:val="0"/>
          <w:sz w:val="32"/>
          <w:szCs w:val="32"/>
        </w:rPr>
      </w:pPr>
      <w:r>
        <w:rPr>
          <w:rFonts w:eastAsia="黑体" w:cs="Times New Roman" w:hint="eastAsia" w:ascii="黑体" w:hAnsi="黑体"/>
          <w:bCs/>
          <w:kern w:val="0"/>
          <w:sz w:val="32"/>
          <w:szCs w:val="32"/>
        </w:rPr>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第十四条</w:t>
      </w:r>
      <w:r>
        <w:rPr>
          <w:rFonts w:ascii="仿宋" w:hAnsi="仿宋" w:cs="Times New Roman" w:hint="eastAsia" w:eastAsia="仿宋"/>
          <w:bCs/>
          <w:kern w:val="0"/>
          <w:sz w:val="32"/>
          <w:szCs w:val="32"/>
        </w:rPr>
        <w:t xml:space="preserve"> </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晋阳湖水质标准，应当达到国家地表水环境质量四类标准，并逐步达到三类及以上水质标准。</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第十五条</w:t>
      </w:r>
      <w:r>
        <w:rPr>
          <w:rFonts w:ascii="仿宋" w:hAnsi="仿宋" w:cs="Times New Roman" w:hint="eastAsia" w:eastAsia="仿宋"/>
          <w:kern w:val="0"/>
          <w:sz w:val="32"/>
          <w:szCs w:val="32"/>
        </w:rPr>
        <w:t xml:space="preserve">  市、区人民政府有关部门应当按照职责分工定期开展疏浚、监测水体，防治水体污染，科学调度水资源，维持合理水位，保护水体生态功能。</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仿宋" w:hint="eastAsia" w:eastAsia="黑体"/>
          <w:bCs/>
          <w:kern w:val="0"/>
          <w:sz w:val="32"/>
          <w:szCs w:val="32"/>
        </w:rPr>
        <w:t>第十六条</w:t>
      </w:r>
      <w:r>
        <w:rPr>
          <w:rFonts w:ascii="黑体" w:hAnsi="黑体" w:cs="仿宋" w:hint="eastAsia" w:eastAsia="黑体"/>
          <w:kern w:val="0"/>
          <w:sz w:val="32"/>
          <w:szCs w:val="32"/>
        </w:rPr>
        <w:t xml:space="preserve">  </w:t>
      </w:r>
      <w:r>
        <w:rPr>
          <w:rFonts w:ascii="仿宋" w:hAnsi="仿宋" w:cs="Times New Roman" w:hint="eastAsia" w:eastAsia="仿宋"/>
          <w:kern w:val="0"/>
          <w:sz w:val="32"/>
          <w:szCs w:val="32"/>
        </w:rPr>
        <w:t>晋阳湖保护区按照功能和保护要求，划分为三级保护区。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一级、二级、三级保护区的具体范围，由市人民政府按照有关规划划定，并向社会公布。</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第十七条</w:t>
      </w:r>
      <w:r>
        <w:rPr>
          <w:rFonts w:ascii="仿宋" w:hAnsi="仿宋" w:cs="Times New Roman" w:hint="eastAsia" w:eastAsia="仿宋"/>
          <w:bCs/>
          <w:kern w:val="0"/>
          <w:sz w:val="32"/>
          <w:szCs w:val="32"/>
        </w:rPr>
        <w:t xml:space="preserve">  </w:t>
      </w:r>
      <w:r>
        <w:rPr>
          <w:rFonts w:ascii="仿宋" w:hAnsi="仿宋" w:cs="Times New Roman" w:hint="eastAsia" w:eastAsia="仿宋"/>
          <w:kern w:val="0"/>
          <w:sz w:val="32"/>
          <w:szCs w:val="32"/>
        </w:rPr>
        <w:t>在三级保护区内，控制下列行为：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（一）开山采石、采矿、挖砂取土；</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（二）建设人造景点、滑雪场、索道等大型项目；</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（三）法律法规规定的其他行为。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属于事关经济社会发展的重大建设项目，经有关部门论证，依法办理有关审批手续后方可实施。</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第十八条</w:t>
      </w:r>
      <w:r>
        <w:rPr>
          <w:rFonts w:ascii="仿宋" w:hAnsi="仿宋" w:cs="Times New Roman" w:hint="eastAsia" w:eastAsia="仿宋"/>
          <w:bCs/>
          <w:kern w:val="0"/>
          <w:sz w:val="32"/>
          <w:szCs w:val="32"/>
        </w:rPr>
        <w:t xml:space="preserve">  </w:t>
      </w:r>
      <w:r>
        <w:rPr>
          <w:rFonts w:ascii="仿宋" w:hAnsi="仿宋" w:cs="Times New Roman" w:hint="eastAsia" w:eastAsia="仿宋"/>
          <w:kern w:val="0"/>
          <w:sz w:val="32"/>
          <w:szCs w:val="32"/>
        </w:rPr>
        <w:t>在二级保护区内，禁止下列行为：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（一）损毁树木、绿地；</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（二）种植不符合生态要求的植物；</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（三）规模化畜禽养殖；</w:t>
      </w:r>
    </w:p>
    <w:p>
      <w:pPr>
        <w:pStyle w:val="Normal"/>
        <w:keepNext w:val="false"/>
        <w:keepLines w:val="false"/>
        <w:pageBreakBefore w:val="false"/>
        <w:kinsoku w:val="true"/>
        <w:overflowPunct w:val="true"/>
        <w:autoSpaceDE w:val="false"/>
        <w:bidi w:val="0"/>
        <w:snapToGrid w:val="false"/>
        <w:spacing w:lineRule="atLeast" w:line="640"/>
        <w:ind w:firstLineChars="0" w:firstLine="0" w:startChars="30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（四）三级保护区内控制的行为；</w:t>
      </w:r>
    </w:p>
    <w:p>
      <w:pPr>
        <w:pStyle w:val="Normal"/>
        <w:keepNext w:val="false"/>
        <w:keepLines w:val="false"/>
        <w:pageBreakBefore w:val="false"/>
        <w:kinsoku w:val="true"/>
        <w:overflowPunct w:val="true"/>
        <w:autoSpaceDE w:val="false"/>
        <w:bidi w:val="0"/>
        <w:snapToGrid w:val="false"/>
        <w:spacing w:lineRule="atLeast" w:line="640"/>
        <w:ind w:firstLineChars="0" w:firstLine="0" w:startChars="30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（五）法律法规禁止的其他行为。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第十九条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在一级保护区内，禁止下列行为：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（一）擅自填埋、占用水域；</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（二）擅自取水或者无序抽排水；</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（三）影响水体安全的爆破、采石、取土等行为；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（四）建设妨碍行洪的建筑物、构筑物以及种植妨碍行洪、输水的林木；</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（五）向水体排放、倾倒工业废渣、城镇垃圾和其他废弃物；</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（六）在水体清洗装贮过油类或者有毒污染物的车辆和容器；</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（七）向晋阳湖内排放污水；</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（八）电鱼、毒鱼、炸鱼；</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（九）不符合环保要求的机动船舶进入晋阳湖水面；</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（十）二、三级保护区内禁止、控制的行为；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（十一）法律法规禁止的其他行为。</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第二十条</w:t>
      </w:r>
      <w:r>
        <w:rPr>
          <w:rFonts w:ascii="黑体" w:hAnsi="黑体" w:cs="Times New Roman" w:hint="eastAsia" w:eastAsia="黑体"/>
          <w:b/>
          <w:bCs/>
          <w:kern w:val="0"/>
          <w:sz w:val="32"/>
          <w:szCs w:val="32"/>
        </w:rPr>
        <w:t xml:space="preserve">  </w:t>
      </w:r>
      <w:r>
        <w:rPr>
          <w:rFonts w:ascii="仿宋" w:hAnsi="仿宋" w:cs="Times New Roman" w:hint="eastAsia" w:eastAsia="仿宋"/>
          <w:kern w:val="0"/>
          <w:sz w:val="32"/>
          <w:szCs w:val="32"/>
        </w:rPr>
        <w:t>市、区人民政府应当根据城镇排水与污水处理规划的要求，加大对晋阳湖保护区内的城镇排水与污水处理设施建设和维护的投入，加强排水与污水处理设施建设，实行雨水、污水分流。</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排水单位和个人应当按照国家有关规定将污水排入城镇排水设施。</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第二十一条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任何单位和个人未经批准不得擅自在晋阳湖保护区引入外来物种。</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拟新引入物种，应当进行调研、鉴定，评估其有害性和对本地原生物种的影响；未经鉴定和评估的，不得引入。</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第二十二条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市人民政府园林部门应当根据本条例确定的晋阳湖保护区范围和界线，设置一、二级保护区界标。</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任何单位和个人不得破坏、涂改或者擅自移动晋阳湖保护区的界标以及防汛、水文、水利、气象、环境监测等有关设施。</w:t>
      </w:r>
    </w:p>
    <w:p>
      <w:pPr>
        <w:pStyle w:val="Normal"/>
        <w:keepNext w:val="false"/>
        <w:keepLines w:val="false"/>
        <w:pageBreakBefore w:val="false"/>
        <w:kinsoku w:val="true"/>
        <w:overflowPunct w:val="true"/>
        <w:autoSpaceDE w:val="false"/>
        <w:bidi w:val="0"/>
        <w:snapToGrid w:val="false"/>
        <w:spacing w:lineRule="atLeast" w:line="640"/>
        <w:ind w:firstLineChars="900" w:startChars="0" w:start="0" w:endChars="0" w:end="0"/>
        <w:textAlignment w:val="baseline"/>
        <w:rPr>
          <w:rFonts w:ascii="黑体" w:hAnsi="黑体" w:eastAsia="黑体" w:cs="Times New Roman"/>
          <w:b/>
          <w:bCs/>
          <w:kern w:val="0"/>
          <w:sz w:val="32"/>
          <w:szCs w:val="32"/>
        </w:rPr>
      </w:pPr>
      <w:r>
        <w:rPr>
          <w:rFonts w:eastAsia="黑体" w:cs="Times New Roman" w:hint="eastAsia" w:ascii="黑体" w:hAnsi="黑体"/>
          <w:b/>
          <w:bCs/>
          <w:kern w:val="0"/>
          <w:sz w:val="32"/>
          <w:szCs w:val="32"/>
        </w:rPr>
        <w:t xml:space="preserve"> </w:t>
      </w:r>
    </w:p>
    <w:p>
      <w:pPr>
        <w:pStyle w:val="Normal"/>
        <w:keepNext w:val="false"/>
        <w:keepLines w:val="false"/>
        <w:pageBreakBefore w:val="false"/>
        <w:kinsoku w:val="true"/>
        <w:overflowPunct w:val="true"/>
        <w:autoSpaceDE w:val="false"/>
        <w:bidi w:val="0"/>
        <w:snapToGrid w:val="false"/>
        <w:spacing w:lineRule="atLeast" w:line="640"/>
        <w:ind w:firstLineChars="900" w:startChars="0" w:start="0" w:endChars="0" w:end="0"/>
        <w:textAlignment w:val="baseline"/>
        <w:rPr>
          <w:rFonts w:ascii="黑体" w:hAnsi="黑体" w:eastAsia="黑体" w:cs="Times New Roman"/>
          <w:bCs/>
          <w:kern w:val="0"/>
          <w:sz w:val="32"/>
          <w:szCs w:val="32"/>
        </w:rPr>
      </w:pPr>
      <w:r>
        <w:rPr>
          <w:rFonts w:ascii="黑体" w:hAnsi="黑体" w:cs="Times New Roman" w:hint="eastAsia" w:eastAsia="黑体"/>
          <w:bCs/>
          <w:kern w:val="0"/>
          <w:sz w:val="32"/>
          <w:szCs w:val="32"/>
        </w:rPr>
        <w:t>第四章  生态修复</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黑体" w:hAnsi="黑体" w:eastAsia="黑体" w:cs="Times New Roman" w:hint="eastAsia"/>
          <w:bCs/>
          <w:kern w:val="0"/>
          <w:sz w:val="32"/>
          <w:szCs w:val="32"/>
        </w:rPr>
      </w:pPr>
      <w:r>
        <w:rPr>
          <w:rFonts w:eastAsia="黑体" w:cs="Times New Roman" w:hint="eastAsia" w:ascii="黑体" w:hAnsi="黑体"/>
          <w:bCs/>
          <w:kern w:val="0"/>
          <w:sz w:val="32"/>
          <w:szCs w:val="32"/>
        </w:rPr>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第二十三条</w:t>
      </w:r>
      <w:r>
        <w:rPr>
          <w:rFonts w:ascii="仿宋" w:hAnsi="仿宋" w:cs="Times New Roman" w:hint="eastAsia" w:eastAsia="仿宋"/>
          <w:bCs/>
          <w:kern w:val="0"/>
          <w:sz w:val="32"/>
          <w:szCs w:val="32"/>
        </w:rPr>
        <w:t xml:space="preserve">  </w:t>
      </w:r>
      <w:r>
        <w:rPr>
          <w:rFonts w:ascii="仿宋" w:hAnsi="仿宋" w:cs="Times New Roman" w:hint="eastAsia" w:eastAsia="仿宋"/>
          <w:kern w:val="0"/>
          <w:sz w:val="32"/>
          <w:szCs w:val="32"/>
        </w:rPr>
        <w:t>市、区人民政府应当坚持自然修复与人工修复相结合，实行山水林田湖草综合治理，提高晋阳湖生态环境承载力，建立健全生态保护与修复的长效机制。</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第二十四条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市、区人民政府应当组织在晋阳湖保护区内科学造林种草，提高植被覆盖率。</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第二十五条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市、区人民政府应当建立水环境保护长效机制，实施水生生物生态修复工程，改善晋阳湖水质，提高晋阳湖水体的自净能力。</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第二十六条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市、区人民政府有关部门应当按照各自职责对晋阳湖保护区内湖、河、渠道的水面漂浮物、有害水生植物、动物尸体等进行清理，定期组织清淤，进行无害化处置。</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第二十七条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市人民政府水务部门应当采取措施优化晋阳湖水资源配置，实现多源互补。</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市、区人民政府水务部门应当推进河湖水系连通工程建设，提高晋阳湖自然修复能力。</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第二十八条</w:t>
      </w:r>
      <w:r>
        <w:rPr>
          <w:rFonts w:ascii="仿宋" w:hAnsi="仿宋" w:cs="Times New Roman" w:hint="eastAsia" w:eastAsia="仿宋"/>
          <w:bCs/>
          <w:kern w:val="0"/>
          <w:sz w:val="32"/>
          <w:szCs w:val="32"/>
        </w:rPr>
        <w:t xml:space="preserve"> </w:t>
      </w:r>
      <w:r>
        <w:rPr>
          <w:rFonts w:ascii="仿宋" w:hAnsi="仿宋" w:cs="Times New Roman" w:hint="eastAsia" w:eastAsia="仿宋"/>
          <w:kern w:val="0"/>
          <w:sz w:val="32"/>
          <w:szCs w:val="32"/>
        </w:rPr>
        <w:t xml:space="preserve"> 市人民政府规划和自然资源、水务、农业农村等部门应当采取措施改善晋阳湖保护区内野生动植物生存环境，科学开展增殖放流，保护水生生物，营造人、水、野生动植物和谐共生的生态环境，提高晋阳湖保护区内生物多样性。</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第二十九条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市、区人民政府应当依法开展退耕退塘、恢复湿地等工作。</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禁止侵占自然湿地等水源涵养空间，已侵占的湿地应当限期退出，并予以恢复。</w:t>
      </w:r>
    </w:p>
    <w:p>
      <w:pPr>
        <w:pStyle w:val="Normal"/>
        <w:keepNext w:val="false"/>
        <w:keepLines w:val="false"/>
        <w:pageBreakBefore w:val="false"/>
        <w:numPr>
          <w:ilvl w:val="0"/>
          <w:numId w:val="0"/>
        </w:numPr>
        <w:kinsoku w:val="true"/>
        <w:overflowPunct w:val="true"/>
        <w:autoSpaceDE w:val="false"/>
        <w:bidi w:val="0"/>
        <w:snapToGrid w:val="false"/>
        <w:spacing w:lineRule="atLeast" w:line="640"/>
        <w:jc w:val="center"/>
        <w:textAlignment w:val="baseline"/>
        <w:outlineLvl w:val="0"/>
        <w:rPr>
          <w:rFonts w:ascii="黑体" w:hAnsi="黑体" w:eastAsia="黑体" w:cs="Times New Roman"/>
          <w:b/>
          <w:bCs/>
          <w:color w:val="333333"/>
          <w:kern w:val="0"/>
          <w:sz w:val="32"/>
          <w:szCs w:val="32"/>
        </w:rPr>
      </w:pPr>
      <w:r>
        <w:rPr>
          <w:rFonts w:eastAsia="黑体" w:cs="Times New Roman" w:hint="eastAsia" w:ascii="黑体" w:hAnsi="黑体"/>
          <w:b/>
          <w:bCs/>
          <w:color w:val="333333"/>
          <w:kern w:val="0"/>
          <w:sz w:val="32"/>
          <w:szCs w:val="32"/>
        </w:rPr>
        <w:t xml:space="preserve"> </w:t>
      </w:r>
    </w:p>
    <w:p>
      <w:pPr>
        <w:pStyle w:val="Normal"/>
        <w:keepNext w:val="false"/>
        <w:keepLines w:val="false"/>
        <w:pageBreakBefore w:val="false"/>
        <w:kinsoku w:val="true"/>
        <w:overflowPunct w:val="true"/>
        <w:autoSpaceDE w:val="false"/>
        <w:bidi w:val="0"/>
        <w:snapToGrid w:val="false"/>
        <w:spacing w:lineRule="atLeast" w:line="640"/>
        <w:ind w:firstLineChars="900" w:startChars="0" w:start="0" w:endChars="0" w:end="0"/>
        <w:textAlignment w:val="baseline"/>
        <w:rPr>
          <w:rFonts w:ascii="黑体" w:hAnsi="黑体" w:eastAsia="黑体" w:cs="Times New Roman" w:hint="eastAsia"/>
          <w:bCs/>
          <w:kern w:val="0"/>
          <w:sz w:val="32"/>
          <w:szCs w:val="32"/>
        </w:rPr>
      </w:pPr>
      <w:r>
        <w:rPr>
          <w:rFonts w:ascii="黑体" w:hAnsi="黑体" w:cs="Times New Roman" w:hint="eastAsia" w:eastAsia="黑体"/>
          <w:bCs/>
          <w:kern w:val="0"/>
          <w:sz w:val="32"/>
          <w:szCs w:val="32"/>
        </w:rPr>
        <w:t>第五章 监督管理</w:t>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firstLineChars="200" w:startChars="0" w:start="0" w:endChars="0" w:end="0"/>
        <w:textAlignment w:val="baseline"/>
        <w:outlineLvl w:val="0"/>
        <w:rPr>
          <w:rFonts w:ascii="黑体" w:hAnsi="黑体" w:eastAsia="黑体" w:cs="Times New Roman" w:hint="eastAsia"/>
          <w:bCs/>
          <w:kern w:val="0"/>
          <w:sz w:val="32"/>
          <w:szCs w:val="32"/>
        </w:rPr>
      </w:pPr>
      <w:r>
        <w:rPr>
          <w:rFonts w:eastAsia="黑体" w:cs="Times New Roman" w:hint="eastAsia" w:ascii="黑体" w:hAnsi="黑体"/>
          <w:bCs/>
          <w:kern w:val="0"/>
          <w:sz w:val="32"/>
          <w:szCs w:val="32"/>
        </w:rPr>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firstLineChars="200" w:startChars="0" w:start="0" w:endChars="0" w:end="0"/>
        <w:textAlignment w:val="baseline"/>
        <w:outlineLvl w:val="0"/>
        <w:rPr>
          <w:rFonts w:ascii="仿宋" w:hAnsi="仿宋" w:eastAsia="仿宋" w:cs="Times New Roman"/>
          <w:kern w:val="0"/>
          <w:sz w:val="32"/>
          <w:szCs w:val="32"/>
        </w:rPr>
      </w:pPr>
      <w:r>
        <w:rPr>
          <w:rFonts w:ascii="黑体" w:hAnsi="黑体" w:cs="Times New Roman" w:hint="eastAsia" w:eastAsia="黑体"/>
          <w:bCs/>
          <w:kern w:val="0"/>
          <w:sz w:val="32"/>
          <w:szCs w:val="32"/>
        </w:rPr>
        <w:t>第三十条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晋阳湖保护区内的河湖实行河湖长制。</w:t>
      </w:r>
    </w:p>
    <w:p>
      <w:pPr>
        <w:pStyle w:val="Normal"/>
        <w:keepNext w:val="false"/>
        <w:keepLines w:val="false"/>
        <w:pageBreakBefore w:val="false"/>
        <w:numPr>
          <w:ilvl w:val="0"/>
          <w:numId w:val="0"/>
        </w:numPr>
        <w:kinsoku w:val="true"/>
        <w:overflowPunct w:val="true"/>
        <w:autoSpaceDE w:val="false"/>
        <w:bidi w:val="0"/>
        <w:snapToGrid w:val="false"/>
        <w:spacing w:lineRule="atLeast" w:line="640"/>
        <w:ind w:firstLineChars="200" w:startChars="0" w:start="0" w:endChars="0" w:end="0"/>
        <w:textAlignment w:val="baseline"/>
        <w:outlineLvl w:val="0"/>
        <w:rPr>
          <w:rFonts w:ascii="仿宋" w:hAnsi="仿宋" w:eastAsia="仿宋" w:cs="Times New Roman"/>
          <w:b/>
          <w:bCs/>
          <w:kern w:val="0"/>
          <w:sz w:val="32"/>
          <w:szCs w:val="32"/>
        </w:rPr>
      </w:pPr>
      <w:r>
        <w:rPr>
          <w:rFonts w:ascii="仿宋" w:hAnsi="仿宋" w:cs="Times New Roman" w:hint="eastAsia" w:eastAsia="仿宋"/>
          <w:kern w:val="0"/>
          <w:sz w:val="32"/>
          <w:szCs w:val="32"/>
        </w:rPr>
        <w:t>河湖长的设立、职责确定和工作机制，按照河湖长制的有关规定执行。</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第三十一条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市人民政府应当组织有关部门对晋阳湖生态保护与修复情况进行监督检查。</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被检查单位和个人应当如实提供有关情况和资料，不得隐瞒拒绝。</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第三十二条</w:t>
      </w:r>
      <w:r>
        <w:rPr>
          <w:rFonts w:ascii="仿宋" w:hAnsi="仿宋" w:cs="Times New Roman" w:hint="eastAsia" w:eastAsia="仿宋"/>
          <w:bCs/>
          <w:kern w:val="0"/>
          <w:sz w:val="32"/>
          <w:szCs w:val="32"/>
        </w:rPr>
        <w:t xml:space="preserve"> </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市、区人民政府应当建立健全联合执法机制。</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color w:val="333333"/>
          <w:kern w:val="0"/>
          <w:sz w:val="32"/>
          <w:szCs w:val="32"/>
        </w:rPr>
      </w:pPr>
      <w:r>
        <w:rPr>
          <w:rFonts w:ascii="仿宋" w:hAnsi="仿宋" w:cs="Times New Roman" w:hint="eastAsia" w:eastAsia="仿宋"/>
          <w:kern w:val="0"/>
          <w:sz w:val="32"/>
          <w:szCs w:val="32"/>
        </w:rPr>
        <w:t>市、区人民政府有关部门对联合执法检查中发现的问题，应当依法处理。</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第三十三条</w:t>
      </w:r>
      <w:r>
        <w:rPr>
          <w:rFonts w:ascii="仿宋" w:hAnsi="仿宋" w:cs="Times New Roman" w:hint="eastAsia" w:eastAsia="仿宋"/>
          <w:bCs/>
          <w:kern w:val="0"/>
          <w:sz w:val="32"/>
          <w:szCs w:val="32"/>
        </w:rPr>
        <w:t xml:space="preserve"> </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市人民政府应当组织水务、园林、规划和自然资源、生态环境、农业农村、文旅等部门，按照国家统一规划布局、统一标准方法、统一信息发布的要求，建立晋阳湖保护与修复监测体系和信息共享平台，实施数据共享。</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仿宋" w:hAnsi="仿宋" w:cs="Times New Roman" w:hint="eastAsia" w:eastAsia="仿宋"/>
          <w:kern w:val="0"/>
          <w:sz w:val="32"/>
          <w:szCs w:val="32"/>
        </w:rPr>
        <w:t>市人民政府园林部门应当组织建设晋阳湖信息化管理平台，实现智慧化管理。</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eastAsia="仿宋" w:cs="Times New Roman" w:hint="eastAsia" w:ascii="仿宋" w:hAnsi="仿宋"/>
          <w:kern w:val="0"/>
          <w:sz w:val="32"/>
          <w:szCs w:val="32"/>
        </w:rPr>
        <w:t xml:space="preserve"> </w:t>
      </w:r>
    </w:p>
    <w:p>
      <w:pPr>
        <w:pStyle w:val="Normal"/>
        <w:keepNext w:val="false"/>
        <w:keepLines w:val="false"/>
        <w:pageBreakBefore w:val="false"/>
        <w:kinsoku w:val="true"/>
        <w:overflowPunct w:val="true"/>
        <w:autoSpaceDE w:val="false"/>
        <w:bidi w:val="0"/>
        <w:snapToGrid w:val="false"/>
        <w:spacing w:lineRule="atLeast" w:line="640"/>
        <w:ind w:firstLineChars="900" w:startChars="0" w:start="0" w:endChars="0" w:end="0"/>
        <w:textAlignment w:val="baseline"/>
        <w:rPr>
          <w:rFonts w:ascii="黑体" w:hAnsi="黑体" w:eastAsia="黑体" w:cs="Times New Roman" w:hint="eastAsia"/>
          <w:bCs/>
          <w:kern w:val="0"/>
          <w:sz w:val="32"/>
          <w:szCs w:val="32"/>
        </w:rPr>
      </w:pPr>
      <w:r>
        <w:rPr>
          <w:rFonts w:ascii="黑体" w:hAnsi="黑体" w:cs="Times New Roman" w:hint="eastAsia" w:eastAsia="黑体"/>
          <w:bCs/>
          <w:kern w:val="0"/>
          <w:sz w:val="32"/>
          <w:szCs w:val="32"/>
        </w:rPr>
        <w:t>第六章  法律责任</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黑体" w:hAnsi="黑体" w:eastAsia="黑体" w:cs="Times New Roman" w:hint="eastAsia"/>
          <w:bCs/>
          <w:kern w:val="0"/>
          <w:sz w:val="32"/>
          <w:szCs w:val="32"/>
        </w:rPr>
      </w:pPr>
      <w:r>
        <w:rPr>
          <w:rFonts w:eastAsia="黑体" w:cs="Times New Roman" w:hint="eastAsia" w:ascii="黑体" w:hAnsi="黑体"/>
          <w:bCs/>
          <w:kern w:val="0"/>
          <w:sz w:val="32"/>
          <w:szCs w:val="32"/>
        </w:rPr>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第三十四条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违反本条例规定，法律、行政法规以及省人民代表大会及其常务委员会制定的地方性法规已有法律责任规定的，从其规定。</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Times New Roman" w:hint="eastAsia" w:eastAsia="黑体"/>
          <w:bCs/>
          <w:kern w:val="0"/>
          <w:sz w:val="32"/>
          <w:szCs w:val="32"/>
        </w:rPr>
        <w:t xml:space="preserve">第三十五条 </w:t>
      </w:r>
      <w:r>
        <w:rPr>
          <w:rFonts w:ascii="黑体" w:hAnsi="黑体" w:cs="Times New Roman" w:hint="eastAsia" w:eastAsia="黑体"/>
          <w:b/>
          <w:bCs/>
          <w:kern w:val="0"/>
          <w:sz w:val="32"/>
          <w:szCs w:val="32"/>
        </w:rPr>
        <w:t xml:space="preserve"> </w:t>
      </w:r>
      <w:r>
        <w:rPr>
          <w:rFonts w:ascii="仿宋" w:hAnsi="仿宋" w:cs="Times New Roman" w:hint="eastAsia" w:eastAsia="仿宋"/>
          <w:kern w:val="0"/>
          <w:sz w:val="32"/>
          <w:szCs w:val="32"/>
        </w:rPr>
        <w:t>违反本条例规定，破坏、涂改或者擅自移动保护区界标的，由市人民政府城乡管理部门责令改正，并处二百元以上五百元以下罚款；造成损失的，赔偿损失。</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b/>
          <w:bCs/>
          <w:color w:val="333333"/>
          <w:spacing w:val="-17"/>
          <w:kern w:val="0"/>
          <w:sz w:val="32"/>
          <w:szCs w:val="32"/>
        </w:rPr>
      </w:pPr>
      <w:r>
        <w:rPr>
          <w:rFonts w:ascii="黑体" w:hAnsi="黑体" w:cs="Times New Roman" w:hint="eastAsia" w:eastAsia="黑体"/>
          <w:bCs/>
          <w:kern w:val="0"/>
          <w:sz w:val="32"/>
          <w:szCs w:val="32"/>
        </w:rPr>
        <w:t xml:space="preserve">第三十六条 </w:t>
      </w:r>
      <w:r>
        <w:rPr>
          <w:rFonts w:ascii="黑体" w:hAnsi="黑体" w:cs="Times New Roman" w:hint="eastAsia" w:eastAsia="黑体"/>
          <w:b/>
          <w:bCs/>
          <w:kern w:val="0"/>
          <w:sz w:val="32"/>
          <w:szCs w:val="32"/>
        </w:rPr>
        <w:t xml:space="preserve"> </w:t>
      </w:r>
      <w:r>
        <w:rPr>
          <w:rFonts w:ascii="仿宋" w:hAnsi="仿宋" w:cs="Times New Roman" w:hint="eastAsia" w:eastAsia="仿宋"/>
          <w:kern w:val="0"/>
          <w:sz w:val="32"/>
          <w:szCs w:val="32"/>
        </w:rPr>
        <w:t>违反本条例规定，有关部门工作人员在晋阳湖生态保护与修复工作中玩忽职守、滥用职权、徇私舞弊的，对直接负责的主管人员和其他直接责任人员依法给予处分；构成犯罪的，依法追究刑事责任。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false"/>
        <w:bidi w:val="0"/>
        <w:snapToGrid w:val="false"/>
        <w:spacing w:lineRule="atLeast" w:line="640"/>
        <w:jc w:val="center"/>
        <w:textAlignment w:val="baseline"/>
        <w:rPr>
          <w:rFonts w:ascii="黑体" w:hAnsi="黑体" w:eastAsia="黑体" w:cs="Times New Roman"/>
          <w:b/>
          <w:bCs/>
          <w:color w:val="333333"/>
          <w:kern w:val="0"/>
          <w:sz w:val="32"/>
          <w:szCs w:val="32"/>
        </w:rPr>
      </w:pPr>
      <w:r>
        <w:rPr>
          <w:rFonts w:eastAsia="黑体" w:cs="Times New Roman" w:hint="eastAsia" w:ascii="黑体" w:hAnsi="黑体"/>
          <w:b/>
          <w:bCs/>
          <w:color w:val="333333"/>
          <w:kern w:val="0"/>
          <w:sz w:val="32"/>
          <w:szCs w:val="32"/>
        </w:rPr>
        <w:t xml:space="preserve"> </w:t>
      </w:r>
    </w:p>
    <w:p>
      <w:pPr>
        <w:pStyle w:val="Normal"/>
        <w:keepNext w:val="false"/>
        <w:keepLines w:val="false"/>
        <w:pageBreakBefore w:val="false"/>
        <w:kinsoku w:val="true"/>
        <w:overflowPunct w:val="true"/>
        <w:autoSpaceDE w:val="false"/>
        <w:bidi w:val="0"/>
        <w:snapToGrid w:val="false"/>
        <w:spacing w:lineRule="atLeast" w:line="640"/>
        <w:ind w:firstLineChars="900" w:startChars="0" w:start="0" w:endChars="0" w:end="0"/>
        <w:textAlignment w:val="baseline"/>
        <w:rPr>
          <w:rFonts w:ascii="黑体" w:hAnsi="黑体" w:eastAsia="黑体" w:cs="Times New Roman" w:hint="eastAsia"/>
          <w:bCs/>
          <w:kern w:val="0"/>
          <w:sz w:val="32"/>
          <w:szCs w:val="32"/>
        </w:rPr>
      </w:pPr>
      <w:r>
        <w:rPr>
          <w:rFonts w:ascii="黑体" w:hAnsi="黑体" w:cs="Times New Roman" w:hint="eastAsia" w:eastAsia="黑体"/>
          <w:bCs/>
          <w:kern w:val="0"/>
          <w:sz w:val="32"/>
          <w:szCs w:val="32"/>
        </w:rPr>
        <w:t>第七章  附  则</w:t>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keepNext w:val="false"/>
        <w:keepLines w:val="false"/>
        <w:pageBreakBefore w:val="false"/>
        <w:kinsoku w:val="true"/>
        <w:overflowPunct w:val="true"/>
        <w:autoSpaceDE w:val="false"/>
        <w:bidi w:val="0"/>
        <w:snapToGrid w:val="false"/>
        <w:spacing w:lineRule="atLeast" w:line="640"/>
        <w:ind w:firstLineChars="200" w:startChars="0" w:start="0" w:endChars="0" w:end="0"/>
        <w:textAlignment w:val="baseline"/>
        <w:rPr>
          <w:rFonts w:ascii="仿宋" w:hAnsi="仿宋" w:eastAsia="仿宋" w:cs="Times New Roman"/>
          <w:kern w:val="0"/>
          <w:sz w:val="32"/>
          <w:szCs w:val="32"/>
        </w:rPr>
      </w:pPr>
      <w:r>
        <w:rPr>
          <w:rFonts w:ascii="黑体" w:hAnsi="黑体" w:cs="仿宋" w:hint="eastAsia" w:eastAsia="黑体"/>
          <w:bCs/>
          <w:kern w:val="0"/>
          <w:sz w:val="32"/>
          <w:szCs w:val="32"/>
        </w:rPr>
        <w:t>第三十七条</w:t>
      </w:r>
      <w:r>
        <w:rPr>
          <w:rFonts w:ascii="仿宋" w:hAnsi="仿宋" w:cs="Times New Roman" w:hint="eastAsia" w:eastAsia="仿宋"/>
          <w:b/>
          <w:bCs/>
          <w:kern w:val="0"/>
          <w:sz w:val="32"/>
          <w:szCs w:val="32"/>
        </w:rPr>
        <w:t xml:space="preserve">  </w:t>
      </w:r>
      <w:r>
        <w:rPr>
          <w:rFonts w:ascii="仿宋" w:hAnsi="仿宋" w:cs="Times New Roman" w:hint="eastAsia" w:eastAsia="仿宋"/>
          <w:kern w:val="0"/>
          <w:sz w:val="32"/>
          <w:szCs w:val="32"/>
        </w:rPr>
        <w:t>本条例自</w:t>
      </w:r>
      <w:r>
        <w:rPr>
          <w:rFonts w:eastAsia="仿宋" w:cs="Times New Roman" w:hint="eastAsia" w:ascii="仿宋" w:hAnsi="仿宋"/>
          <w:kern w:val="0"/>
          <w:sz w:val="32"/>
          <w:szCs w:val="32"/>
        </w:rPr>
        <w:t>2021</w:t>
      </w:r>
      <w:r>
        <w:rPr>
          <w:rFonts w:ascii="仿宋" w:hAnsi="仿宋" w:cs="Times New Roman" w:hint="eastAsia" w:eastAsia="仿宋"/>
          <w:kern w:val="0"/>
          <w:sz w:val="32"/>
          <w:szCs w:val="32"/>
        </w:rPr>
        <w:t>年</w:t>
      </w:r>
      <w:r>
        <w:rPr>
          <w:rFonts w:eastAsia="仿宋" w:cs="Times New Roman" w:hint="eastAsia" w:ascii="仿宋" w:hAnsi="仿宋"/>
          <w:kern w:val="0"/>
          <w:sz w:val="32"/>
          <w:szCs w:val="32"/>
        </w:rPr>
        <w:t>11</w:t>
      </w:r>
      <w:r>
        <w:rPr>
          <w:rFonts w:ascii="仿宋" w:hAnsi="仿宋" w:cs="Times New Roman" w:hint="eastAsia" w:eastAsia="仿宋"/>
          <w:kern w:val="0"/>
          <w:sz w:val="32"/>
          <w:szCs w:val="32"/>
        </w:rPr>
        <w:t>月</w:t>
      </w:r>
      <w:r>
        <w:rPr>
          <w:rFonts w:eastAsia="仿宋" w:cs="Times New Roman" w:hint="eastAsia" w:ascii="仿宋" w:hAnsi="仿宋"/>
          <w:kern w:val="0"/>
          <w:sz w:val="32"/>
          <w:szCs w:val="32"/>
        </w:rPr>
        <w:t>1</w:t>
      </w:r>
      <w:r>
        <w:rPr>
          <w:rFonts w:ascii="仿宋" w:hAnsi="仿宋" w:cs="Times New Roman" w:hint="eastAsia" w:eastAsia="仿宋"/>
          <w:kern w:val="0"/>
          <w:sz w:val="32"/>
          <w:szCs w:val="32"/>
        </w:rPr>
        <w:t>日起施行。</w:t>
      </w:r>
    </w:p>
    <w:p>
      <w:pPr>
        <w:pStyle w:val="Normal"/>
        <w:rPr>
          <w:rFonts w:ascii="仿宋" w:hAnsi="仿宋" w:eastAsia="仿宋" w:cs="Times New Roman"/>
          <w:kern w:val="0"/>
          <w:sz w:val="32"/>
          <w:szCs w:val="32"/>
        </w:rPr>
      </w:pPr>
      <w:r>
        <w:rPr>
          <w:rFonts w:eastAsia="仿宋" w:cs="Times New Roman" w:ascii="仿宋" w:hAnsi="仿宋"/>
          <w:kern w:val="0"/>
          <w:sz w:val="32"/>
          <w:szCs w:val="32"/>
        </w:rPr>
      </w:r>
    </w:p>
    <w:sectPr>
      <w:footerReference w:type="default" r:id="rId2"/>
      <w:type w:val="nextPage"/>
      <w:pgSz w:w="11906" w:h="16838"/>
      <w:pgMar w:left="1587" w:right="1587"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仿宋">
    <w:charset w:val="86"/>
    <w:family w:val="modern"/>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70815" cy="519430"/>
              <wp:effectExtent l="0" t="0" r="0" b="0"/>
              <wp:wrapNone/>
              <wp:docPr id="1" name="Frame1"/>
              <a:graphic xmlns:a="http://schemas.openxmlformats.org/drawingml/2006/main">
                <a:graphicData uri="http://schemas.microsoft.com/office/word/2010/wordprocessingShape">
                  <wps:wsp>
                    <wps:cNvSpPr txBox="1"/>
                    <wps:spPr>
                      <a:xfrm>
                        <a:off x="0" y="0"/>
                        <a:ext cx="170815" cy="5194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12</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40.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12</w:t>
                    </w:r>
                    <w:r>
                      <w:rPr>
                        <w:rFonts w:eastAsia="宋体" w:cs="宋体" w:hint="eastAsia" w:ascii="宋体" w:hAnsi="宋体"/>
                        <w:sz w:val="24"/>
                        <w:szCs w:val="24"/>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widowControl w:val="false"/>
      <w:spacing w:before="240" w:after="60"/>
      <w:jc w:val="center"/>
      <w:outlineLvl w:val="0"/>
    </w:pPr>
    <w:rPr>
      <w:rFonts w:ascii="Arial" w:hAnsi="Arial" w:eastAsia="宋体" w:cs="Arial"/>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2021-09-17T17:30:00Z</dcterms:created>
  <dc:creator>greatwall</dc:creator>
  <dc:description/>
  <dc:language>en-US</dc:language>
  <cp:lastModifiedBy>碎花裙 °</cp:lastModifiedBy>
  <dcterms:modified xsi:type="dcterms:W3CDTF">2021-12-27T15:51:19Z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F1EF77AED4BD49A6B03A251428F7DC3C</vt:lpwstr>
  </property>
  <property fmtid="{D5CDD505-2E9C-101B-9397-08002B2CF9AE}" pid="3" name="KSOProductBuildVer">
    <vt:lpwstr>2052-11.1.0.11194</vt:lpwstr>
  </property>
</Properties>
</file>