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exact" w:line="578"/>
        <w:outlineLvl w:val="3"/>
        <w:rPr>
          <w:rFonts w:ascii="黑体;SimHei" w:hAnsi="黑体;SimHei" w:eastAsia="黑体;SimHei" w:cs="宋体;SimSun" w:hint="eastAsia"/>
          <w:b/>
          <w:bCs/>
          <w:color w:val="4C4C4C"/>
          <w:kern w:val="0"/>
          <w:sz w:val="44"/>
          <w:szCs w:val="44"/>
        </w:rPr>
      </w:pPr>
      <w:r>
        <w:rPr>
          <w:rFonts w:eastAsia="黑体;SimHei" w:cs="宋体;SimSun" w:hint="eastAsia" w:ascii="黑体;SimHei" w:hAnsi="黑体;SimHei"/>
          <w:b/>
          <w:bCs/>
          <w:color w:val="4C4C4C"/>
          <w:kern w:val="0"/>
          <w:sz w:val="44"/>
          <w:szCs w:val="44"/>
        </w:rPr>
      </w:r>
    </w:p>
    <w:p>
      <w:pPr>
        <w:pStyle w:val="Normal"/>
        <w:numPr>
          <w:ilvl w:val="0"/>
          <w:numId w:val="0"/>
        </w:numPr>
        <w:spacing w:lineRule="exact" w:line="578"/>
        <w:outlineLvl w:val="3"/>
        <w:rPr>
          <w:rFonts w:ascii="黑体;SimHei" w:hAnsi="黑体;SimHei" w:eastAsia="黑体;SimHei" w:cs="宋体;SimSun" w:hint="eastAsia"/>
          <w:b/>
          <w:bCs/>
          <w:color w:val="4C4C4C"/>
          <w:kern w:val="0"/>
          <w:sz w:val="44"/>
          <w:szCs w:val="44"/>
        </w:rPr>
      </w:pPr>
      <w:r>
        <w:rPr>
          <w:rFonts w:eastAsia="黑体;SimHei" w:cs="宋体;SimSun" w:hint="eastAsia" w:ascii="黑体;SimHei" w:hAnsi="黑体;SimHei"/>
          <w:b/>
          <w:bCs/>
          <w:color w:val="4C4C4C"/>
          <w:kern w:val="0"/>
          <w:sz w:val="44"/>
          <w:szCs w:val="44"/>
        </w:rPr>
      </w:r>
    </w:p>
    <w:p>
      <w:pPr>
        <w:pStyle w:val="Normal"/>
        <w:numPr>
          <w:ilvl w:val="0"/>
          <w:numId w:val="0"/>
        </w:numPr>
        <w:spacing w:lineRule="exact" w:line="578"/>
        <w:jc w:val="center"/>
        <w:outlineLvl w:val="3"/>
        <w:rPr>
          <w:rFonts w:ascii="宋体;SimSun" w:hAnsi="宋体;SimSun" w:cs="宋体;SimSun" w:hint="eastAsia"/>
          <w:bCs/>
          <w:kern w:val="0"/>
          <w:sz w:val="44"/>
          <w:szCs w:val="44"/>
        </w:rPr>
      </w:pPr>
      <w:r>
        <w:rPr>
          <w:rFonts w:ascii="宋体;SimSun" w:hAnsi="宋体;SimSun" w:cs="宋体;SimSun" w:hint="eastAsia"/>
          <w:bCs/>
          <w:kern w:val="0"/>
          <w:sz w:val="44"/>
          <w:szCs w:val="44"/>
        </w:rPr>
        <w:t>山西省农业投资条例</w:t>
      </w:r>
    </w:p>
    <w:p>
      <w:pPr>
        <w:pStyle w:val="BodyTextIndent"/>
        <w:spacing w:lineRule="exact" w:line="578"/>
        <w:rPr>
          <w:rFonts w:ascii="宋体;SimSun" w:hAnsi="宋体;SimSun" w:cs="宋体;SimSun" w:hint="eastAsia"/>
          <w:bCs/>
          <w:kern w:val="0"/>
          <w:sz w:val="44"/>
          <w:szCs w:val="44"/>
        </w:rPr>
      </w:pPr>
      <w:r>
        <w:rPr>
          <w:rFonts w:cs="宋体;SimSun" w:hint="eastAsia" w:ascii="宋体;SimSun" w:hAnsi="宋体;SimSun"/>
          <w:bCs/>
          <w:kern w:val="0"/>
          <w:sz w:val="44"/>
          <w:szCs w:val="44"/>
        </w:rPr>
      </w:r>
    </w:p>
    <w:p>
      <w:pPr>
        <w:pStyle w:val="BodyTextIndent"/>
        <w:spacing w:lineRule="exact" w:line="578"/>
        <w:ind w:firstLineChars="0" w:firstLine="0" w:startChars="320" w:endChars="280"/>
        <w:rPr>
          <w:rFonts w:hint="eastAsia"/>
          <w:b/>
          <w:szCs w:val="32"/>
        </w:rPr>
      </w:pPr>
      <w:r>
        <w:rPr>
          <w:rFonts w:ascii="楷体_GB2312" w:hAnsi="楷体_GB2312" w:hint="eastAsia" w:eastAsia="楷体_GB2312"/>
          <w:szCs w:val="32"/>
        </w:rPr>
        <w:t>（</w:t>
      </w:r>
      <w:r>
        <w:rPr>
          <w:rFonts w:eastAsia="楷体_GB2312" w:hint="eastAsia" w:ascii="楷体_GB2312" w:hAnsi="楷体_GB2312"/>
          <w:szCs w:val="32"/>
        </w:rPr>
        <w:t>1992</w:t>
      </w:r>
      <w:r>
        <w:rPr>
          <w:rFonts w:ascii="楷体_GB2312" w:hAnsi="楷体_GB2312" w:hint="eastAsia" w:eastAsia="楷体_GB2312"/>
          <w:szCs w:val="32"/>
        </w:rPr>
        <w:t>年</w:t>
      </w:r>
      <w:r>
        <w:rPr>
          <w:rFonts w:eastAsia="楷体_GB2312" w:hint="eastAsia" w:ascii="楷体_GB2312" w:hAnsi="楷体_GB2312"/>
          <w:szCs w:val="32"/>
        </w:rPr>
        <w:t>1</w:t>
      </w:r>
      <w:r>
        <w:rPr>
          <w:rFonts w:ascii="楷体_GB2312" w:hAnsi="楷体_GB2312" w:hint="eastAsia" w:eastAsia="楷体_GB2312"/>
          <w:szCs w:val="32"/>
        </w:rPr>
        <w:t>月</w:t>
      </w:r>
      <w:r>
        <w:rPr>
          <w:rFonts w:eastAsia="楷体_GB2312" w:hint="eastAsia" w:ascii="楷体_GB2312" w:hAnsi="楷体_GB2312"/>
          <w:szCs w:val="32"/>
        </w:rPr>
        <w:t>20</w:t>
      </w:r>
      <w:r>
        <w:rPr>
          <w:rFonts w:ascii="楷体_GB2312" w:hAnsi="楷体_GB2312" w:hint="eastAsia" w:eastAsia="楷体_GB2312"/>
          <w:szCs w:val="32"/>
        </w:rPr>
        <w:t>日山西省第七届人民代表大会常务委员会第二十六次会议通过　根据</w:t>
      </w:r>
      <w:r>
        <w:rPr>
          <w:rFonts w:eastAsia="楷体_GB2312" w:hint="eastAsia" w:ascii="楷体_GB2312" w:hAnsi="楷体_GB2312"/>
          <w:szCs w:val="32"/>
        </w:rPr>
        <w:t>1996</w:t>
      </w:r>
      <w:r>
        <w:rPr>
          <w:rFonts w:ascii="楷体_GB2312" w:hAnsi="楷体_GB2312" w:hint="eastAsia" w:eastAsia="楷体_GB2312"/>
          <w:szCs w:val="32"/>
        </w:rPr>
        <w:t>年</w:t>
      </w:r>
      <w:r>
        <w:rPr>
          <w:rFonts w:eastAsia="楷体_GB2312" w:hint="eastAsia" w:ascii="楷体_GB2312" w:hAnsi="楷体_GB2312"/>
          <w:szCs w:val="32"/>
        </w:rPr>
        <w:t>12</w:t>
      </w:r>
      <w:r>
        <w:rPr>
          <w:rFonts w:ascii="楷体_GB2312" w:hAnsi="楷体_GB2312" w:hint="eastAsia" w:eastAsia="楷体_GB2312"/>
          <w:szCs w:val="32"/>
        </w:rPr>
        <w:t>月</w:t>
      </w:r>
      <w:r>
        <w:rPr>
          <w:rFonts w:eastAsia="楷体_GB2312" w:hint="eastAsia" w:ascii="楷体_GB2312" w:hAnsi="楷体_GB2312"/>
          <w:szCs w:val="32"/>
        </w:rPr>
        <w:t>3</w:t>
      </w:r>
      <w:r>
        <w:rPr>
          <w:rFonts w:ascii="楷体_GB2312" w:hAnsi="楷体_GB2312" w:hint="eastAsia" w:eastAsia="楷体_GB2312"/>
          <w:szCs w:val="32"/>
        </w:rPr>
        <w:t>日山西省第八届人民代表大会常务委员会第二十五次会议《关于修改〈山西省农业投资条例〉的决定》第一次修正　根据</w:t>
      </w:r>
      <w:r>
        <w:rPr>
          <w:rFonts w:eastAsia="楷体_GB2312" w:hint="eastAsia" w:ascii="楷体_GB2312" w:hAnsi="楷体_GB2312"/>
          <w:szCs w:val="32"/>
        </w:rPr>
        <w:t>2014</w:t>
      </w:r>
      <w:r>
        <w:rPr>
          <w:rFonts w:ascii="楷体_GB2312" w:hAnsi="楷体_GB2312" w:hint="eastAsia" w:eastAsia="楷体_GB2312"/>
          <w:szCs w:val="32"/>
        </w:rPr>
        <w:t>年</w:t>
      </w:r>
      <w:r>
        <w:rPr>
          <w:rFonts w:eastAsia="楷体_GB2312" w:hint="eastAsia" w:ascii="楷体_GB2312" w:hAnsi="楷体_GB2312"/>
          <w:szCs w:val="32"/>
        </w:rPr>
        <w:t>11</w:t>
      </w:r>
      <w:r>
        <w:rPr>
          <w:rFonts w:ascii="楷体_GB2312" w:hAnsi="楷体_GB2312" w:hint="eastAsia" w:eastAsia="楷体_GB2312"/>
          <w:szCs w:val="32"/>
        </w:rPr>
        <w:t>月</w:t>
      </w:r>
      <w:r>
        <w:rPr>
          <w:rFonts w:eastAsia="楷体_GB2312" w:hint="eastAsia" w:ascii="楷体_GB2312" w:hAnsi="楷体_GB2312"/>
          <w:szCs w:val="32"/>
        </w:rPr>
        <w:t>28</w:t>
      </w:r>
      <w:r>
        <w:rPr>
          <w:rFonts w:ascii="楷体_GB2312" w:hAnsi="楷体_GB2312" w:hint="eastAsia" w:eastAsia="楷体_GB2312"/>
          <w:szCs w:val="32"/>
        </w:rPr>
        <w:t>日山西省第十二届人民代表大会常务委员会第十六次会议《关于修改部分地方性法规的决定》第二次修正）</w:t>
      </w:r>
    </w:p>
    <w:p>
      <w:pPr>
        <w:pStyle w:val="BodyTextIndent"/>
        <w:spacing w:lineRule="exact" w:line="578"/>
        <w:ind w:firstLineChars="0" w:firstLine="0" w:endChars="0" w:end="0"/>
        <w:rPr>
          <w:rFonts w:hint="eastAsia"/>
          <w:b/>
          <w:szCs w:val="32"/>
        </w:rPr>
      </w:pPr>
      <w:r>
        <w:rPr>
          <w:rFonts w:hint="eastAsia"/>
          <w:b/>
          <w:szCs w:val="32"/>
        </w:rPr>
      </w:r>
    </w:p>
    <w:p>
      <w:pPr>
        <w:pStyle w:val="BodyTextIndent"/>
        <w:spacing w:lineRule="exact" w:line="578"/>
        <w:ind w:firstLineChars="0" w:firstLine="0" w:endChars="0" w:end="0"/>
        <w:jc w:val="center"/>
        <w:rPr/>
      </w:pPr>
      <w:r>
        <w:rPr>
          <w:rFonts w:ascii="黑体;SimHei" w:hAnsi="黑体;SimHei" w:hint="eastAsia" w:eastAsia="黑体;SimHei"/>
        </w:rPr>
        <w:t>第一章　总则</w:t>
      </w:r>
    </w:p>
    <w:p>
      <w:pPr>
        <w:pStyle w:val="BodyTextIndent"/>
        <w:spacing w:lineRule="exact" w:line="578"/>
        <w:ind w:firstLineChars="0" w:firstLine="0" w:endChars="0" w:end="0"/>
        <w:jc w:val="center"/>
        <w:rPr>
          <w:rFonts w:ascii="黑体;SimHei" w:hAnsi="黑体;SimHei" w:eastAsia="黑体;SimHei" w:hint="eastAsia"/>
          <w:b/>
        </w:rPr>
      </w:pPr>
      <w:r>
        <w:rPr>
          <w:rFonts w:eastAsia="黑体;SimHei" w:hint="eastAsia" w:ascii="黑体;SimHei" w:hAnsi="黑体;SimHei"/>
          <w:b/>
        </w:rPr>
      </w:r>
    </w:p>
    <w:p>
      <w:pPr>
        <w:pStyle w:val="BodyTextIndent"/>
        <w:spacing w:lineRule="exact" w:line="578"/>
        <w:rPr/>
      </w:pPr>
      <w:r>
        <w:rPr>
          <w:rFonts w:ascii="黑体;SimHei" w:hAnsi="黑体;SimHei" w:hint="eastAsia" w:eastAsia="黑体;SimHei"/>
        </w:rPr>
        <w:t>第一条　</w:t>
      </w:r>
      <w:r>
        <w:rPr>
          <w:rFonts w:hint="eastAsia"/>
        </w:rPr>
        <w:t>为保证农业投资的稳定增长和合理使用，以改善农业生产条件，提高农业的综合生产能力，巩固和加强国民经济基础，推进农业现代化，制定本条例。</w:t>
      </w:r>
    </w:p>
    <w:p>
      <w:pPr>
        <w:pStyle w:val="BodyTextIndent"/>
        <w:spacing w:lineRule="exact" w:line="578"/>
        <w:rPr/>
      </w:pPr>
      <w:r>
        <w:rPr>
          <w:rFonts w:ascii="黑体;SimHei" w:hAnsi="黑体;SimHei" w:hint="eastAsia" w:eastAsia="黑体;SimHei"/>
        </w:rPr>
        <w:t>第二条</w:t>
      </w:r>
      <w:r>
        <w:rPr>
          <w:rFonts w:hint="eastAsia"/>
        </w:rPr>
        <w:t>　县级以上人民政府应逐步提高农业投入的总体水平。各级财政每年对农业总投入的增长幅度应当高于同级财政经常性收入的增长幅度。逐步建立健全国家、集体和农民个人相结合的投资体系。</w:t>
      </w:r>
    </w:p>
    <w:p>
      <w:pPr>
        <w:pStyle w:val="BodyTextIndent"/>
        <w:spacing w:lineRule="exact" w:line="578"/>
        <w:rPr/>
      </w:pPr>
      <w:r>
        <w:rPr>
          <w:rFonts w:ascii="黑体;SimHei" w:hAnsi="黑体;SimHei" w:hint="eastAsia" w:eastAsia="黑体;SimHei"/>
        </w:rPr>
        <w:t>第三条</w:t>
      </w:r>
      <w:r>
        <w:rPr>
          <w:rFonts w:hint="eastAsia"/>
        </w:rPr>
        <w:t>　本条例所称农业投资是指各级人民政府安排的除农用工业投资以外的农业基本建设资金，支援农村生产支出，农业的科技费用，国有农业企业技术改造资金和其他用于农业的资金。</w:t>
      </w:r>
    </w:p>
    <w:p>
      <w:pPr>
        <w:pStyle w:val="BodyTextIndent"/>
        <w:spacing w:lineRule="exact" w:line="578"/>
        <w:rPr/>
      </w:pPr>
      <w:r>
        <w:rPr>
          <w:rFonts w:ascii="黑体;SimHei" w:hAnsi="黑体;SimHei" w:hint="eastAsia" w:eastAsia="黑体;SimHei"/>
        </w:rPr>
        <w:t>第四条</w:t>
      </w:r>
      <w:r>
        <w:rPr>
          <w:rFonts w:hint="eastAsia"/>
        </w:rPr>
        <w:t>　农业投资的安排和使用，实行统筹安排，保证重点，科学决策，严格管理，提高效益的方针。</w:t>
      </w:r>
    </w:p>
    <w:p>
      <w:pPr>
        <w:pStyle w:val="BodyTextIndent"/>
        <w:spacing w:lineRule="exact" w:line="578"/>
        <w:ind w:firstLineChars="0" w:firstLine="0" w:endChars="0" w:end="0"/>
        <w:jc w:val="center"/>
        <w:rPr>
          <w:rFonts w:hint="eastAsia"/>
          <w:b/>
        </w:rPr>
      </w:pPr>
      <w:r>
        <w:rPr>
          <w:rFonts w:hint="eastAsia"/>
          <w:b/>
        </w:rPr>
      </w:r>
    </w:p>
    <w:p>
      <w:pPr>
        <w:pStyle w:val="BodyTextIndent"/>
        <w:spacing w:lineRule="exact" w:line="578"/>
        <w:ind w:firstLineChars="0" w:firstLine="0" w:endChars="0" w:end="0"/>
        <w:jc w:val="center"/>
        <w:rPr>
          <w:rFonts w:ascii="黑体;SimHei" w:hAnsi="黑体;SimHei" w:eastAsia="黑体;SimHei" w:hint="eastAsia"/>
        </w:rPr>
      </w:pPr>
      <w:r>
        <w:rPr>
          <w:rFonts w:ascii="黑体;SimHei" w:hAnsi="黑体;SimHei" w:hint="eastAsia" w:eastAsia="黑体;SimHei"/>
        </w:rPr>
        <w:t>第二章　农业投资的来源</w:t>
      </w:r>
    </w:p>
    <w:p>
      <w:pPr>
        <w:pStyle w:val="BodyTextIndent"/>
        <w:spacing w:lineRule="exact" w:line="578"/>
        <w:ind w:firstLineChars="0" w:firstLine="0" w:endChars="0" w:end="0"/>
        <w:jc w:val="center"/>
        <w:rPr>
          <w:rFonts w:ascii="黑体;SimHei" w:hAnsi="黑体;SimHei" w:eastAsia="黑体;SimHei" w:hint="eastAsia"/>
        </w:rPr>
      </w:pPr>
      <w:r>
        <w:rPr>
          <w:rFonts w:eastAsia="黑体;SimHei" w:hint="eastAsia" w:ascii="黑体;SimHei" w:hAnsi="黑体;SimHei"/>
        </w:rPr>
      </w:r>
    </w:p>
    <w:p>
      <w:pPr>
        <w:pStyle w:val="BodyTextIndent"/>
        <w:spacing w:lineRule="exact" w:line="578"/>
        <w:rPr/>
      </w:pPr>
      <w:r>
        <w:rPr>
          <w:rFonts w:ascii="黑体;SimHei" w:hAnsi="黑体;SimHei" w:hint="eastAsia" w:eastAsia="黑体;SimHei"/>
        </w:rPr>
        <w:t>第五条</w:t>
      </w:r>
      <w:r>
        <w:rPr>
          <w:rFonts w:hint="eastAsia"/>
        </w:rPr>
        <w:t>　省级农业投资在国家现行财政体制下，根据当年财政状况，按下列比例确定：</w:t>
      </w:r>
    </w:p>
    <w:p>
      <w:pPr>
        <w:pStyle w:val="BodyTextIndent"/>
        <w:spacing w:lineRule="exact" w:line="578"/>
        <w:rPr>
          <w:rFonts w:hint="eastAsia"/>
        </w:rPr>
      </w:pPr>
      <w:r>
        <w:rPr>
          <w:rFonts w:hint="eastAsia"/>
        </w:rPr>
        <w:t>（一）农业基本建设投资占计划内省筹基本建设投资总额的</w:t>
      </w:r>
      <w:r>
        <w:rPr>
          <w:rFonts w:hint="eastAsia"/>
        </w:rPr>
        <w:t>17%</w:t>
      </w:r>
      <w:r>
        <w:rPr>
          <w:rFonts w:hint="eastAsia"/>
        </w:rPr>
        <w:t>以上；</w:t>
      </w:r>
    </w:p>
    <w:p>
      <w:pPr>
        <w:pStyle w:val="BodyTextIndent"/>
        <w:spacing w:lineRule="exact" w:line="578"/>
        <w:rPr/>
      </w:pPr>
      <w:r>
        <w:rPr>
          <w:rFonts w:hint="eastAsia"/>
        </w:rPr>
        <w:t>（二）支援农村生产支出应在上一年度农业投资总额的基数上，按高于财政经常性收入增长的幅度增加农业投资；</w:t>
      </w:r>
    </w:p>
    <w:p>
      <w:pPr>
        <w:pStyle w:val="BodyTextIndent"/>
        <w:spacing w:lineRule="exact" w:line="578"/>
        <w:rPr>
          <w:rFonts w:hint="eastAsia"/>
        </w:rPr>
      </w:pPr>
      <w:r>
        <w:rPr>
          <w:rFonts w:hint="eastAsia"/>
        </w:rPr>
        <w:t>（三）农业的科技费用占科技三项费用总支出的</w:t>
      </w:r>
      <w:r>
        <w:rPr>
          <w:rFonts w:hint="eastAsia"/>
        </w:rPr>
        <w:t>40%</w:t>
      </w:r>
      <w:r>
        <w:rPr>
          <w:rFonts w:hint="eastAsia"/>
        </w:rPr>
        <w:t>以上；</w:t>
      </w:r>
    </w:p>
    <w:p>
      <w:pPr>
        <w:pStyle w:val="BodyTextIndent"/>
        <w:spacing w:lineRule="exact" w:line="578"/>
        <w:rPr>
          <w:rFonts w:hint="eastAsia"/>
        </w:rPr>
      </w:pPr>
      <w:r>
        <w:rPr>
          <w:rFonts w:hint="eastAsia"/>
        </w:rPr>
        <w:t>（四）国有农业企业技术改造资金支出占财政拨款技术改造资金支出的</w:t>
      </w:r>
      <w:r>
        <w:rPr>
          <w:rFonts w:hint="eastAsia"/>
        </w:rPr>
        <w:t>10%</w:t>
      </w:r>
      <w:r>
        <w:rPr>
          <w:rFonts w:hint="eastAsia"/>
        </w:rPr>
        <w:t>以上。</w:t>
      </w:r>
    </w:p>
    <w:p>
      <w:pPr>
        <w:pStyle w:val="BodyTextIndent"/>
        <w:spacing w:lineRule="exact" w:line="578"/>
        <w:rPr/>
      </w:pPr>
      <w:r>
        <w:rPr>
          <w:rFonts w:ascii="黑体;SimHei" w:hAnsi="黑体;SimHei" w:hint="eastAsia" w:eastAsia="黑体;SimHei"/>
        </w:rPr>
        <w:t>第六条</w:t>
      </w:r>
      <w:r>
        <w:rPr>
          <w:rFonts w:hint="eastAsia"/>
        </w:rPr>
        <w:t>　设区的市人民政府、县级人民政府应逐年增加农业投资。每年对农业投资的增长幅度不得低于同级财政经常性收入的增长幅度。</w:t>
      </w:r>
    </w:p>
    <w:p>
      <w:pPr>
        <w:pStyle w:val="BodyTextIndent"/>
        <w:spacing w:lineRule="exact" w:line="578"/>
        <w:rPr/>
      </w:pPr>
      <w:r>
        <w:rPr>
          <w:rFonts w:ascii="黑体;SimHei" w:hAnsi="黑体;SimHei" w:hint="eastAsia" w:eastAsia="黑体;SimHei"/>
        </w:rPr>
        <w:t>第七条</w:t>
      </w:r>
      <w:r>
        <w:rPr>
          <w:rFonts w:hint="eastAsia"/>
        </w:rPr>
        <w:t>　各级人民政府掌握的预算外资金，规定用于农业的必须用于农业，不得挪作他用；其他的预算外资金和机动财力，也必须确定一定比例用于发展农业生产。</w:t>
      </w:r>
    </w:p>
    <w:p>
      <w:pPr>
        <w:pStyle w:val="BodyTextIndent"/>
        <w:spacing w:lineRule="exact" w:line="578"/>
        <w:rPr/>
      </w:pPr>
      <w:r>
        <w:rPr>
          <w:rFonts w:ascii="黑体;SimHei" w:hAnsi="黑体;SimHei" w:hint="eastAsia" w:eastAsia="黑体;SimHei"/>
        </w:rPr>
        <w:t>第八条</w:t>
      </w:r>
      <w:r>
        <w:rPr>
          <w:rFonts w:hint="eastAsia"/>
        </w:rPr>
        <w:t>　县级以上人民政府设立农业发展基金。</w:t>
      </w:r>
    </w:p>
    <w:p>
      <w:pPr>
        <w:pStyle w:val="BodyTextIndent"/>
        <w:spacing w:lineRule="exact" w:line="578"/>
        <w:rPr>
          <w:rFonts w:hint="eastAsia"/>
        </w:rPr>
      </w:pPr>
      <w:r>
        <w:rPr>
          <w:rFonts w:hint="eastAsia"/>
        </w:rPr>
        <w:t>农业发展基金按照规定的资金来源渠道和比例足额提取，做到专款专用，不得挪作他用。</w:t>
      </w:r>
    </w:p>
    <w:p>
      <w:pPr>
        <w:pStyle w:val="BodyTextIndent"/>
        <w:spacing w:lineRule="exact" w:line="578"/>
        <w:rPr>
          <w:rFonts w:hint="eastAsia"/>
        </w:rPr>
      </w:pPr>
      <w:r>
        <w:rPr>
          <w:rFonts w:hint="eastAsia"/>
        </w:rPr>
        <w:t>农业发展基金的提取办法由省人民政府制定。</w:t>
      </w:r>
    </w:p>
    <w:p>
      <w:pPr>
        <w:pStyle w:val="BodyTextIndent"/>
        <w:spacing w:lineRule="exact" w:line="578"/>
        <w:rPr/>
      </w:pPr>
      <w:r>
        <w:rPr>
          <w:rFonts w:ascii="黑体;SimHei" w:hAnsi="黑体;SimHei" w:hint="eastAsia" w:eastAsia="黑体;SimHei"/>
        </w:rPr>
        <w:t>第九条</w:t>
      </w:r>
      <w:r>
        <w:rPr>
          <w:rFonts w:hint="eastAsia"/>
        </w:rPr>
        <w:t>　涉及农业的金融机构安排信贷计划时，应当优先安排农业生产贷款，保证逐年增加，做到及时发放，足额到位，并为农业贷款提供方便。</w:t>
      </w:r>
    </w:p>
    <w:p>
      <w:pPr>
        <w:pStyle w:val="BodyTextIndent"/>
        <w:spacing w:lineRule="exact" w:line="578"/>
        <w:rPr/>
      </w:pPr>
      <w:r>
        <w:rPr>
          <w:rFonts w:ascii="黑体;SimHei" w:hAnsi="黑体;SimHei" w:hint="eastAsia" w:eastAsia="黑体;SimHei"/>
        </w:rPr>
        <w:t>第十条</w:t>
      </w:r>
      <w:r>
        <w:rPr>
          <w:rFonts w:hint="eastAsia"/>
        </w:rPr>
        <w:t>　各级人民政府应根据国家和省人民政府有关规定积极引进外资，发展农业生产。</w:t>
      </w:r>
    </w:p>
    <w:p>
      <w:pPr>
        <w:pStyle w:val="BodyTextIndent"/>
        <w:spacing w:lineRule="exact" w:line="578"/>
        <w:rPr/>
      </w:pPr>
      <w:r>
        <w:rPr>
          <w:rFonts w:ascii="黑体;SimHei" w:hAnsi="黑体;SimHei" w:hint="eastAsia" w:eastAsia="黑体;SimHei"/>
        </w:rPr>
        <w:t>第十一条</w:t>
      </w:r>
      <w:r>
        <w:rPr>
          <w:rFonts w:hint="eastAsia"/>
        </w:rPr>
        <w:t>　乡（镇）和村办企业有支援农业的义务，应按税后利润的</w:t>
      </w:r>
      <w:r>
        <w:rPr>
          <w:rFonts w:hint="eastAsia"/>
        </w:rPr>
        <w:t>5%</w:t>
      </w:r>
      <w:r>
        <w:rPr>
          <w:rFonts w:hint="eastAsia"/>
        </w:rPr>
        <w:t>上缴乡（镇）和村集体经济组织，用于以工建农、以工补农，发展农业生产。</w:t>
      </w:r>
    </w:p>
    <w:p>
      <w:pPr>
        <w:pStyle w:val="BodyTextIndent"/>
        <w:spacing w:lineRule="exact" w:line="578"/>
        <w:rPr>
          <w:rFonts w:hint="eastAsia"/>
        </w:rPr>
      </w:pPr>
      <w:r>
        <w:rPr>
          <w:rFonts w:hint="eastAsia"/>
        </w:rPr>
        <w:t>经营个体工商业、私营企业和运输业的农民，应按税后年纯收入的</w:t>
      </w:r>
      <w:r>
        <w:rPr>
          <w:rFonts w:hint="eastAsia"/>
        </w:rPr>
        <w:t>3%</w:t>
      </w:r>
      <w:r>
        <w:rPr>
          <w:rFonts w:hint="eastAsia"/>
        </w:rPr>
        <w:t>上缴村集体经济组织，按规定用于发展农业生产。</w:t>
      </w:r>
    </w:p>
    <w:p>
      <w:pPr>
        <w:pStyle w:val="BodyTextIndent"/>
        <w:spacing w:lineRule="exact" w:line="578"/>
        <w:rPr>
          <w:rFonts w:hint="eastAsia"/>
        </w:rPr>
      </w:pPr>
      <w:r>
        <w:rPr>
          <w:rFonts w:hint="eastAsia"/>
        </w:rPr>
        <w:t>村集体经济组织要按承包合同的规定，将应收取的承包金收足，主要用于发展农业生产。</w:t>
      </w:r>
    </w:p>
    <w:p>
      <w:pPr>
        <w:pStyle w:val="BodyTextIndent"/>
        <w:spacing w:lineRule="exact" w:line="578"/>
        <w:rPr/>
      </w:pPr>
      <w:r>
        <w:rPr>
          <w:rFonts w:ascii="黑体;SimHei" w:hAnsi="黑体;SimHei" w:hint="eastAsia" w:eastAsia="黑体;SimHei"/>
        </w:rPr>
        <w:t>第十二条</w:t>
      </w:r>
      <w:r>
        <w:rPr>
          <w:rFonts w:hint="eastAsia"/>
        </w:rPr>
        <w:t>　鼓励农民和各类新型农业经营主体在承包或流转的土地上不断增加资金、物资和劳务投入。</w:t>
      </w:r>
    </w:p>
    <w:p>
      <w:pPr>
        <w:pStyle w:val="BodyTextIndent"/>
        <w:spacing w:lineRule="exact" w:line="578"/>
        <w:ind w:firstLineChars="0" w:firstLine="0" w:endChars="0" w:end="0"/>
        <w:jc w:val="center"/>
        <w:rPr>
          <w:rFonts w:hint="eastAsia"/>
          <w:b/>
        </w:rPr>
      </w:pPr>
      <w:r>
        <w:rPr>
          <w:rFonts w:hint="eastAsia"/>
          <w:b/>
        </w:rPr>
      </w:r>
    </w:p>
    <w:p>
      <w:pPr>
        <w:pStyle w:val="BodyTextIndent"/>
        <w:spacing w:lineRule="exact" w:line="578"/>
        <w:ind w:firstLineChars="0" w:firstLine="0" w:endChars="0" w:end="0"/>
        <w:jc w:val="center"/>
        <w:rPr>
          <w:rFonts w:ascii="黑体;SimHei" w:hAnsi="黑体;SimHei" w:eastAsia="黑体;SimHei" w:hint="eastAsia"/>
        </w:rPr>
      </w:pPr>
      <w:r>
        <w:rPr>
          <w:rFonts w:ascii="黑体;SimHei" w:hAnsi="黑体;SimHei" w:hint="eastAsia" w:eastAsia="黑体;SimHei"/>
        </w:rPr>
        <w:t>第三章　农业资金的使用</w:t>
      </w:r>
    </w:p>
    <w:p>
      <w:pPr>
        <w:pStyle w:val="BodyTextIndent"/>
        <w:spacing w:lineRule="exact" w:line="578"/>
        <w:ind w:firstLineChars="0" w:firstLine="0" w:endChars="0" w:end="0"/>
        <w:jc w:val="center"/>
        <w:rPr>
          <w:rFonts w:ascii="黑体;SimHei" w:hAnsi="黑体;SimHei" w:eastAsia="黑体;SimHei" w:hint="eastAsia"/>
          <w:b/>
        </w:rPr>
      </w:pPr>
      <w:r>
        <w:rPr>
          <w:rFonts w:eastAsia="黑体;SimHei" w:hint="eastAsia" w:ascii="黑体;SimHei" w:hAnsi="黑体;SimHei"/>
          <w:b/>
        </w:rPr>
      </w:r>
    </w:p>
    <w:p>
      <w:pPr>
        <w:pStyle w:val="BodyTextIndent"/>
        <w:spacing w:lineRule="exact" w:line="578"/>
        <w:rPr/>
      </w:pPr>
      <w:r>
        <w:rPr>
          <w:rFonts w:ascii="黑体;SimHei" w:hAnsi="黑体;SimHei" w:hint="eastAsia" w:eastAsia="黑体;SimHei"/>
        </w:rPr>
        <w:t>第十三条</w:t>
      </w:r>
      <w:r>
        <w:rPr>
          <w:rFonts w:hint="eastAsia"/>
        </w:rPr>
        <w:t>　农业基本建设投资，主要用于农业的物质技术基础设施建设，改善农业生产条件和国家在本省农业基本建设项目的配套资金。</w:t>
      </w:r>
    </w:p>
    <w:p>
      <w:pPr>
        <w:pStyle w:val="BodyTextIndent"/>
        <w:spacing w:lineRule="exact" w:line="578"/>
        <w:rPr>
          <w:rFonts w:hint="eastAsia"/>
        </w:rPr>
      </w:pPr>
      <w:r>
        <w:rPr>
          <w:rFonts w:hint="eastAsia"/>
        </w:rPr>
        <w:t>主要为城市和工矿区生产、生活服务的大中型水利工程建设资金，由省人民政府列专项安排，不挤占当年农业基本建设投资比例。</w:t>
      </w:r>
    </w:p>
    <w:p>
      <w:pPr>
        <w:pStyle w:val="BodyTextIndent"/>
        <w:spacing w:lineRule="exact" w:line="578"/>
        <w:rPr/>
      </w:pPr>
      <w:r>
        <w:rPr>
          <w:rFonts w:ascii="黑体;SimHei" w:hAnsi="黑体;SimHei" w:hint="eastAsia" w:eastAsia="黑体;SimHei"/>
        </w:rPr>
        <w:t>第十四条</w:t>
      </w:r>
      <w:r>
        <w:rPr>
          <w:rFonts w:hint="eastAsia"/>
        </w:rPr>
        <w:t>　支援农村生产支出，主要用于小型农田水利、水土保持、改造中低产田等设施建设，推广应用农业科学技术和农业技术培训，建立健全农业社会化服务体系。</w:t>
      </w:r>
    </w:p>
    <w:p>
      <w:pPr>
        <w:pStyle w:val="BodyTextIndent"/>
        <w:spacing w:lineRule="exact" w:line="578"/>
        <w:rPr/>
      </w:pPr>
      <w:r>
        <w:rPr>
          <w:rFonts w:ascii="黑体;SimHei" w:hAnsi="黑体;SimHei" w:hint="eastAsia" w:eastAsia="黑体;SimHei"/>
        </w:rPr>
        <w:t>第十五条</w:t>
      </w:r>
      <w:r>
        <w:rPr>
          <w:rFonts w:hint="eastAsia"/>
        </w:rPr>
        <w:t>　农业科技三项费用，主要用于农业科学研究、农业科技开发、农业技术的示范推广和服务。</w:t>
      </w:r>
    </w:p>
    <w:p>
      <w:pPr>
        <w:pStyle w:val="BodyTextIndent"/>
        <w:spacing w:lineRule="exact" w:line="578"/>
        <w:rPr/>
      </w:pPr>
      <w:r>
        <w:rPr>
          <w:rFonts w:ascii="黑体;SimHei" w:hAnsi="黑体;SimHei" w:hint="eastAsia" w:eastAsia="黑体;SimHei"/>
        </w:rPr>
        <w:t>第十六条</w:t>
      </w:r>
      <w:r>
        <w:rPr>
          <w:rFonts w:hint="eastAsia"/>
        </w:rPr>
        <w:t>　国有农业企业技术改造资金，主要用于农业、畜牧、林业、水利、农机等国营企业技术设备的更新改造。</w:t>
      </w:r>
    </w:p>
    <w:p>
      <w:pPr>
        <w:pStyle w:val="BodyTextIndent"/>
        <w:spacing w:lineRule="exact" w:line="578"/>
        <w:rPr/>
      </w:pPr>
      <w:r>
        <w:rPr>
          <w:rFonts w:ascii="黑体;SimHei" w:hAnsi="黑体;SimHei" w:hint="eastAsia" w:eastAsia="黑体;SimHei"/>
        </w:rPr>
        <w:t>第十七条</w:t>
      </w:r>
      <w:r>
        <w:rPr>
          <w:rFonts w:hint="eastAsia"/>
        </w:rPr>
        <w:t>　依据土地管理法律、法规规定征收的各种费用，必须专款专用，不得挪用。</w:t>
      </w:r>
    </w:p>
    <w:p>
      <w:pPr>
        <w:pStyle w:val="BodyTextIndent"/>
        <w:spacing w:lineRule="exact" w:line="578"/>
        <w:ind w:firstLineChars="0" w:firstLine="0" w:endChars="0" w:end="0"/>
        <w:jc w:val="center"/>
        <w:rPr>
          <w:rFonts w:hint="eastAsia"/>
          <w:b/>
        </w:rPr>
      </w:pPr>
      <w:r>
        <w:rPr>
          <w:rFonts w:hint="eastAsia"/>
          <w:b/>
        </w:rPr>
      </w:r>
    </w:p>
    <w:p>
      <w:pPr>
        <w:pStyle w:val="BodyTextIndent"/>
        <w:spacing w:lineRule="exact" w:line="578"/>
        <w:ind w:firstLineChars="0" w:firstLine="0" w:endChars="0" w:end="0"/>
        <w:jc w:val="center"/>
        <w:rPr>
          <w:rFonts w:ascii="黑体;SimHei" w:hAnsi="黑体;SimHei" w:eastAsia="黑体;SimHei" w:hint="eastAsia"/>
        </w:rPr>
      </w:pPr>
      <w:r>
        <w:rPr>
          <w:rFonts w:ascii="黑体;SimHei" w:hAnsi="黑体;SimHei" w:hint="eastAsia" w:eastAsia="黑体;SimHei"/>
        </w:rPr>
        <w:t>第四章　农业资金的管理</w:t>
      </w:r>
    </w:p>
    <w:p>
      <w:pPr>
        <w:pStyle w:val="BodyTextIndent"/>
        <w:spacing w:lineRule="exact" w:line="578"/>
        <w:ind w:firstLineChars="0" w:firstLine="0" w:endChars="0" w:end="0"/>
        <w:jc w:val="center"/>
        <w:rPr>
          <w:rFonts w:ascii="黑体;SimHei" w:hAnsi="黑体;SimHei" w:eastAsia="黑体;SimHei" w:hint="eastAsia"/>
          <w:b/>
        </w:rPr>
      </w:pPr>
      <w:r>
        <w:rPr>
          <w:rFonts w:eastAsia="黑体;SimHei" w:hint="eastAsia" w:ascii="黑体;SimHei" w:hAnsi="黑体;SimHei"/>
          <w:b/>
        </w:rPr>
      </w:r>
    </w:p>
    <w:p>
      <w:pPr>
        <w:pStyle w:val="BodyTextIndent"/>
        <w:spacing w:lineRule="exact" w:line="578"/>
        <w:rPr/>
      </w:pPr>
      <w:r>
        <w:rPr>
          <w:rFonts w:ascii="黑体;SimHei" w:hAnsi="黑体;SimHei" w:hint="eastAsia" w:eastAsia="黑体;SimHei"/>
        </w:rPr>
        <w:t>第十八条</w:t>
      </w:r>
      <w:r>
        <w:rPr>
          <w:rFonts w:hint="eastAsia"/>
        </w:rPr>
        <w:t>　对农业投资应加强宏观协调，实行计划管理，统筹安排，保证重点，讲求实效。</w:t>
      </w:r>
    </w:p>
    <w:p>
      <w:pPr>
        <w:pStyle w:val="BodyTextIndent"/>
        <w:spacing w:lineRule="exact" w:line="578"/>
        <w:rPr/>
      </w:pPr>
      <w:r>
        <w:rPr>
          <w:rFonts w:ascii="黑体;SimHei" w:hAnsi="黑体;SimHei" w:hint="eastAsia" w:eastAsia="黑体;SimHei"/>
        </w:rPr>
        <w:t>第十九条</w:t>
      </w:r>
      <w:r>
        <w:rPr>
          <w:rFonts w:hint="eastAsia"/>
        </w:rPr>
        <w:t>　各级发展和改革部门负责对农业基本建设投资的管理：</w:t>
      </w:r>
    </w:p>
    <w:p>
      <w:pPr>
        <w:pStyle w:val="BodyTextIndent"/>
        <w:spacing w:lineRule="exact" w:line="578"/>
        <w:rPr>
          <w:rFonts w:hint="eastAsia"/>
        </w:rPr>
      </w:pPr>
      <w:r>
        <w:rPr>
          <w:rFonts w:hint="eastAsia"/>
        </w:rPr>
        <w:t>（一）编制农业基本建设投资规划和提出年度农业投资计划；</w:t>
      </w:r>
    </w:p>
    <w:p>
      <w:pPr>
        <w:pStyle w:val="BodyTextIndent"/>
        <w:spacing w:lineRule="exact" w:line="578"/>
        <w:rPr>
          <w:rFonts w:hint="eastAsia"/>
        </w:rPr>
      </w:pPr>
      <w:r>
        <w:rPr>
          <w:rFonts w:hint="eastAsia"/>
        </w:rPr>
        <w:t>（二）提出农业基本建设投资的经营性项目和非经营性项目；</w:t>
      </w:r>
    </w:p>
    <w:p>
      <w:pPr>
        <w:pStyle w:val="BodyTextIndent"/>
        <w:spacing w:lineRule="exact" w:line="578"/>
        <w:rPr>
          <w:rFonts w:hint="eastAsia"/>
        </w:rPr>
      </w:pPr>
      <w:r>
        <w:rPr>
          <w:rFonts w:hint="eastAsia"/>
        </w:rPr>
        <w:t>（三）制定预算外资金投向农业的工程项目；</w:t>
      </w:r>
    </w:p>
    <w:p>
      <w:pPr>
        <w:pStyle w:val="BodyTextIndent"/>
        <w:spacing w:lineRule="exact" w:line="578"/>
        <w:rPr>
          <w:rFonts w:hint="eastAsia"/>
        </w:rPr>
      </w:pPr>
      <w:r>
        <w:rPr>
          <w:rFonts w:hint="eastAsia"/>
        </w:rPr>
        <w:t>（四）对政府农业资金投向进行宏观调控；</w:t>
      </w:r>
    </w:p>
    <w:p>
      <w:pPr>
        <w:pStyle w:val="BodyTextIndent"/>
        <w:spacing w:lineRule="exact" w:line="578"/>
        <w:rPr>
          <w:rFonts w:hint="eastAsia"/>
        </w:rPr>
      </w:pPr>
      <w:r>
        <w:rPr>
          <w:rFonts w:hint="eastAsia"/>
        </w:rPr>
        <w:t>（五）组织检查农业基本建设资金的使用情况、工程项目的落实情况及工程效益。</w:t>
      </w:r>
    </w:p>
    <w:p>
      <w:pPr>
        <w:pStyle w:val="BodyTextIndent"/>
        <w:spacing w:lineRule="exact" w:line="578"/>
        <w:rPr/>
      </w:pPr>
      <w:r>
        <w:rPr>
          <w:rFonts w:ascii="黑体;SimHei" w:hAnsi="黑体;SimHei" w:hint="eastAsia" w:eastAsia="黑体;SimHei"/>
        </w:rPr>
        <w:t>第二十条</w:t>
      </w:r>
      <w:r>
        <w:rPr>
          <w:rFonts w:hint="eastAsia"/>
        </w:rPr>
        <w:t>　各级财政部门负责对支援农村生产支出，用于农业的科技费用和国有农业企业技术改造资金的预算管理：</w:t>
      </w:r>
    </w:p>
    <w:p>
      <w:pPr>
        <w:pStyle w:val="BodyTextIndent"/>
        <w:spacing w:lineRule="exact" w:line="578"/>
        <w:rPr>
          <w:rFonts w:hint="eastAsia"/>
        </w:rPr>
      </w:pPr>
      <w:r>
        <w:rPr>
          <w:rFonts w:hint="eastAsia"/>
        </w:rPr>
        <w:t>（一）根据本级人民政府制定的农业发展规划，确定财政用于农业的投资范围和重点项目，合理安排农业投资；</w:t>
      </w:r>
    </w:p>
    <w:p>
      <w:pPr>
        <w:pStyle w:val="BodyTextIndent"/>
        <w:spacing w:lineRule="exact" w:line="578"/>
        <w:rPr>
          <w:rFonts w:hint="eastAsia"/>
        </w:rPr>
      </w:pPr>
      <w:r>
        <w:rPr>
          <w:rFonts w:hint="eastAsia"/>
        </w:rPr>
        <w:t>（二）编制年度农业支出预算和决算；</w:t>
      </w:r>
    </w:p>
    <w:p>
      <w:pPr>
        <w:pStyle w:val="BodyTextIndent"/>
        <w:spacing w:lineRule="exact" w:line="578"/>
        <w:rPr>
          <w:rFonts w:hint="eastAsia"/>
        </w:rPr>
      </w:pPr>
      <w:r>
        <w:rPr>
          <w:rFonts w:hint="eastAsia"/>
        </w:rPr>
        <w:t>（三）负责农业资金支出的及时拨款、按时到位和周转资金的发放、回收和管理；</w:t>
      </w:r>
    </w:p>
    <w:p>
      <w:pPr>
        <w:pStyle w:val="BodyTextIndent"/>
        <w:spacing w:lineRule="exact" w:line="578"/>
        <w:rPr>
          <w:rFonts w:hint="eastAsia"/>
        </w:rPr>
      </w:pPr>
      <w:r>
        <w:rPr>
          <w:rFonts w:hint="eastAsia"/>
        </w:rPr>
        <w:t>（四）利用税收、财政补贴等手段，引导社会资金投向农业；</w:t>
      </w:r>
    </w:p>
    <w:p>
      <w:pPr>
        <w:pStyle w:val="BodyTextIndent"/>
        <w:spacing w:lineRule="exact" w:line="578"/>
        <w:rPr>
          <w:rFonts w:hint="eastAsia"/>
        </w:rPr>
      </w:pPr>
      <w:r>
        <w:rPr>
          <w:rFonts w:hint="eastAsia"/>
        </w:rPr>
        <w:t>（五）检查监督农业资金的使用情况、工程项目的进展情况及经济效益。</w:t>
      </w:r>
    </w:p>
    <w:p>
      <w:pPr>
        <w:pStyle w:val="BodyTextIndent"/>
        <w:spacing w:lineRule="exact" w:line="578"/>
        <w:rPr/>
      </w:pPr>
      <w:r>
        <w:rPr>
          <w:rFonts w:ascii="黑体;SimHei" w:hAnsi="黑体;SimHei" w:hint="eastAsia" w:eastAsia="黑体;SimHei"/>
        </w:rPr>
        <w:t>第二十一条</w:t>
      </w:r>
      <w:r>
        <w:rPr>
          <w:rFonts w:hint="eastAsia"/>
        </w:rPr>
        <w:t>　各级农业、林业、水利、农机以及科技等部门负责管理和使用各项农业资金：</w:t>
      </w:r>
    </w:p>
    <w:p>
      <w:pPr>
        <w:pStyle w:val="BodyTextIndent"/>
        <w:spacing w:lineRule="exact" w:line="578"/>
        <w:rPr>
          <w:rFonts w:hint="eastAsia"/>
        </w:rPr>
      </w:pPr>
      <w:r>
        <w:rPr>
          <w:rFonts w:hint="eastAsia"/>
        </w:rPr>
        <w:t>（一）编制本系统年度发展计划，提出本系统农业发展项目，并会同发展和改革、财政部门确定；</w:t>
      </w:r>
    </w:p>
    <w:p>
      <w:pPr>
        <w:pStyle w:val="BodyTextIndent"/>
        <w:spacing w:lineRule="exact" w:line="578"/>
        <w:rPr>
          <w:rFonts w:hint="eastAsia"/>
        </w:rPr>
      </w:pPr>
      <w:r>
        <w:rPr>
          <w:rFonts w:hint="eastAsia"/>
        </w:rPr>
        <w:t>（二）安排和使用好农业专项资金；</w:t>
      </w:r>
    </w:p>
    <w:p>
      <w:pPr>
        <w:pStyle w:val="BodyTextIndent"/>
        <w:spacing w:lineRule="exact" w:line="578"/>
        <w:rPr>
          <w:rFonts w:hint="eastAsia"/>
        </w:rPr>
      </w:pPr>
      <w:r>
        <w:rPr>
          <w:rFonts w:hint="eastAsia"/>
        </w:rPr>
        <w:t>（三）检查所属企事业单位专项资金的使用情况和使用效益。</w:t>
      </w:r>
    </w:p>
    <w:p>
      <w:pPr>
        <w:pStyle w:val="BodyTextIndent"/>
        <w:spacing w:lineRule="exact" w:line="578"/>
        <w:rPr/>
      </w:pPr>
      <w:r>
        <w:rPr>
          <w:rFonts w:ascii="黑体;SimHei" w:hAnsi="黑体;SimHei" w:hint="eastAsia" w:eastAsia="黑体;SimHei"/>
        </w:rPr>
        <w:t>第二十二条</w:t>
      </w:r>
      <w:r>
        <w:rPr>
          <w:rFonts w:hint="eastAsia"/>
        </w:rPr>
        <w:t>　农业投资实行项目管理。农业投资的安排和使用必须严格执行国家规定的投资审批程序。确定农业投资项目，应经过科学论证，认真做好前期工作。</w:t>
      </w:r>
    </w:p>
    <w:p>
      <w:pPr>
        <w:pStyle w:val="BodyTextIndent"/>
        <w:spacing w:lineRule="exact" w:line="578"/>
        <w:rPr/>
      </w:pPr>
      <w:r>
        <w:rPr>
          <w:rFonts w:ascii="黑体;SimHei" w:hAnsi="黑体;SimHei" w:hint="eastAsia" w:eastAsia="黑体;SimHei"/>
        </w:rPr>
        <w:t>第二十三条</w:t>
      </w:r>
      <w:r>
        <w:rPr>
          <w:rFonts w:hint="eastAsia"/>
        </w:rPr>
        <w:t>　农业投资项目主管部门及使用农业投资的单位和个人，应明确责任，讲求效益。农业投资项目可以实行承包责任制。</w:t>
      </w:r>
    </w:p>
    <w:p>
      <w:pPr>
        <w:pStyle w:val="BodyTextIndent"/>
        <w:spacing w:lineRule="exact" w:line="578"/>
        <w:rPr>
          <w:rFonts w:hint="eastAsia"/>
        </w:rPr>
      </w:pPr>
      <w:r>
        <w:rPr>
          <w:rFonts w:hint="eastAsia"/>
        </w:rPr>
        <w:t>农业投资项目主管部门和使用部门，都应建立健全农业投资管理、核算、监督及报告制度。</w:t>
      </w:r>
    </w:p>
    <w:p>
      <w:pPr>
        <w:pStyle w:val="BodyTextIndent"/>
        <w:spacing w:lineRule="exact" w:line="578"/>
        <w:rPr/>
      </w:pPr>
      <w:r>
        <w:rPr>
          <w:rFonts w:ascii="黑体;SimHei" w:hAnsi="黑体;SimHei" w:hint="eastAsia" w:eastAsia="黑体;SimHei"/>
        </w:rPr>
        <w:t>第二十四条</w:t>
      </w:r>
      <w:r>
        <w:rPr>
          <w:rFonts w:hint="eastAsia"/>
        </w:rPr>
        <w:t>　乡（镇）村集体经济组织要办好农村合作基金会并使用好基金。</w:t>
      </w:r>
    </w:p>
    <w:p>
      <w:pPr>
        <w:pStyle w:val="BodyTextIndent"/>
        <w:spacing w:lineRule="exact" w:line="578"/>
        <w:rPr>
          <w:rFonts w:hint="eastAsia"/>
        </w:rPr>
      </w:pPr>
      <w:r>
        <w:rPr>
          <w:rFonts w:hint="eastAsia"/>
        </w:rPr>
        <w:t>乡（镇）人民政府应加强本乡（镇）农业投资项目及其资金使用的管理，防止浪费和滥用。</w:t>
      </w:r>
    </w:p>
    <w:p>
      <w:pPr>
        <w:pStyle w:val="BodyTextIndent"/>
        <w:spacing w:lineRule="exact" w:line="578"/>
        <w:ind w:firstLineChars="0" w:firstLine="0" w:endChars="0" w:end="0"/>
        <w:rPr>
          <w:rFonts w:hint="eastAsia"/>
        </w:rPr>
      </w:pPr>
      <w:r>
        <w:rPr>
          <w:rFonts w:hint="eastAsia"/>
        </w:rPr>
      </w:r>
    </w:p>
    <w:p>
      <w:pPr>
        <w:pStyle w:val="BodyTextIndent"/>
        <w:spacing w:lineRule="exact" w:line="578"/>
        <w:ind w:firstLineChars="0" w:firstLine="0" w:endChars="0" w:end="0"/>
        <w:jc w:val="center"/>
        <w:rPr>
          <w:rFonts w:ascii="黑体;SimHei" w:hAnsi="黑体;SimHei" w:eastAsia="黑体;SimHei" w:hint="eastAsia"/>
        </w:rPr>
      </w:pPr>
      <w:r>
        <w:rPr>
          <w:rFonts w:ascii="黑体;SimHei" w:hAnsi="黑体;SimHei" w:hint="eastAsia" w:eastAsia="黑体;SimHei"/>
        </w:rPr>
        <w:t>第五章　农业投资的监督</w:t>
      </w:r>
    </w:p>
    <w:p>
      <w:pPr>
        <w:pStyle w:val="BodyTextIndent"/>
        <w:spacing w:lineRule="exact" w:line="578"/>
        <w:ind w:firstLineChars="0" w:firstLine="0" w:endChars="0" w:end="0"/>
        <w:jc w:val="center"/>
        <w:rPr>
          <w:rFonts w:ascii="黑体;SimHei" w:hAnsi="黑体;SimHei" w:eastAsia="黑体;SimHei" w:hint="eastAsia"/>
          <w:b/>
        </w:rPr>
      </w:pPr>
      <w:r>
        <w:rPr>
          <w:rFonts w:eastAsia="黑体;SimHei" w:hint="eastAsia" w:ascii="黑体;SimHei" w:hAnsi="黑体;SimHei"/>
          <w:b/>
        </w:rPr>
      </w:r>
    </w:p>
    <w:p>
      <w:pPr>
        <w:pStyle w:val="BodyTextIndent"/>
        <w:spacing w:lineRule="exact" w:line="578"/>
        <w:rPr/>
      </w:pPr>
      <w:r>
        <w:rPr>
          <w:rFonts w:ascii="黑体;SimHei" w:hAnsi="黑体;SimHei" w:hint="eastAsia" w:eastAsia="黑体;SimHei"/>
        </w:rPr>
        <w:t>第二十五条</w:t>
      </w:r>
      <w:r>
        <w:rPr>
          <w:rFonts w:hint="eastAsia"/>
        </w:rPr>
        <w:t>　各级人民政府每年编制国民经济和社会发展计划及财政预算时，应执行本条例的有关规定。在向本级人民代表大会作报告时应将农业投资情况作专项说明。</w:t>
      </w:r>
    </w:p>
    <w:p>
      <w:pPr>
        <w:pStyle w:val="BodyTextIndent"/>
        <w:spacing w:lineRule="exact" w:line="578"/>
        <w:rPr/>
      </w:pPr>
      <w:r>
        <w:rPr>
          <w:rFonts w:ascii="黑体;SimHei" w:hAnsi="黑体;SimHei" w:hint="eastAsia" w:eastAsia="黑体;SimHei"/>
        </w:rPr>
        <w:t>第二十六条</w:t>
      </w:r>
      <w:r>
        <w:rPr>
          <w:rFonts w:hint="eastAsia"/>
        </w:rPr>
        <w:t>　各级人民政府对农业投资计划、预算作部分调整变更时，应提请本级人民代表大会常务委员会审查批准。</w:t>
      </w:r>
    </w:p>
    <w:p>
      <w:pPr>
        <w:pStyle w:val="BodyTextIndent"/>
        <w:spacing w:lineRule="exact" w:line="578"/>
        <w:rPr/>
      </w:pPr>
      <w:r>
        <w:rPr>
          <w:rFonts w:ascii="黑体;SimHei" w:hAnsi="黑体;SimHei" w:hint="eastAsia" w:eastAsia="黑体;SimHei"/>
        </w:rPr>
        <w:t>第二十七条</w:t>
      </w:r>
      <w:r>
        <w:rPr>
          <w:rFonts w:hint="eastAsia"/>
        </w:rPr>
        <w:t>　各设区的市人大常委会对本市人民政府在农业投资中不执行本条例的行为，应及时提出意见，并向省人民代表大会常务委员会报告。</w:t>
      </w:r>
    </w:p>
    <w:p>
      <w:pPr>
        <w:pStyle w:val="BodyTextIndent"/>
        <w:spacing w:lineRule="exact" w:line="578"/>
        <w:rPr/>
      </w:pPr>
      <w:r>
        <w:rPr>
          <w:rFonts w:ascii="黑体;SimHei" w:hAnsi="黑体;SimHei" w:hint="eastAsia" w:eastAsia="黑体;SimHei"/>
        </w:rPr>
        <w:t>第二十八条</w:t>
      </w:r>
      <w:r>
        <w:rPr>
          <w:rFonts w:hint="eastAsia"/>
        </w:rPr>
        <w:t>　各级人民代表大会常务委员会，乡（镇）人民代表大会主席团，可根据需要组织人民代表对当地的农业投资情况进行视察、调查。</w:t>
      </w:r>
    </w:p>
    <w:p>
      <w:pPr>
        <w:pStyle w:val="BodyTextIndent"/>
        <w:spacing w:lineRule="exact" w:line="578"/>
        <w:rPr>
          <w:rFonts w:hint="eastAsia"/>
        </w:rPr>
      </w:pPr>
      <w:r>
        <w:rPr>
          <w:rFonts w:hint="eastAsia"/>
        </w:rPr>
        <w:t>各级人民政府对人民代表关于农业投资方面的意见、建议，应及时作出认真答复。</w:t>
      </w:r>
    </w:p>
    <w:p>
      <w:pPr>
        <w:pStyle w:val="BodyTextIndent"/>
        <w:spacing w:lineRule="exact" w:line="578"/>
        <w:rPr/>
      </w:pPr>
      <w:r>
        <w:rPr>
          <w:rFonts w:ascii="黑体;SimHei" w:hAnsi="黑体;SimHei" w:hint="eastAsia" w:eastAsia="黑体;SimHei"/>
        </w:rPr>
        <w:t>第二十九条</w:t>
      </w:r>
      <w:r>
        <w:rPr>
          <w:rFonts w:hint="eastAsia"/>
        </w:rPr>
        <w:t>　各级审计部门应对本级或下级农业投资部门和资金使用部门的资金进行审计。有违反政纪行为的由监察部门进行监察。</w:t>
      </w:r>
    </w:p>
    <w:p>
      <w:pPr>
        <w:pStyle w:val="BodyTextIndent"/>
        <w:spacing w:lineRule="exact" w:line="578"/>
        <w:ind w:firstLineChars="0" w:firstLine="0" w:endChars="0" w:end="0"/>
        <w:jc w:val="center"/>
        <w:rPr>
          <w:rFonts w:hint="eastAsia"/>
          <w:b/>
        </w:rPr>
      </w:pPr>
      <w:r>
        <w:rPr>
          <w:rFonts w:hint="eastAsia"/>
          <w:b/>
        </w:rPr>
      </w:r>
    </w:p>
    <w:p>
      <w:pPr>
        <w:pStyle w:val="BodyTextIndent"/>
        <w:spacing w:lineRule="exact" w:line="578"/>
        <w:ind w:firstLineChars="0" w:firstLine="0" w:endChars="0" w:end="0"/>
        <w:jc w:val="center"/>
        <w:rPr>
          <w:rFonts w:ascii="黑体;SimHei" w:hAnsi="黑体;SimHei" w:eastAsia="黑体;SimHei" w:hint="eastAsia"/>
        </w:rPr>
      </w:pPr>
      <w:r>
        <w:rPr>
          <w:rFonts w:ascii="黑体;SimHei" w:hAnsi="黑体;SimHei" w:hint="eastAsia" w:eastAsia="黑体;SimHei"/>
        </w:rPr>
        <w:t>第六章　法律责任</w:t>
      </w:r>
    </w:p>
    <w:p>
      <w:pPr>
        <w:pStyle w:val="BodyTextIndent"/>
        <w:spacing w:lineRule="exact" w:line="578"/>
        <w:ind w:firstLineChars="0" w:firstLine="0" w:endChars="0" w:end="0"/>
        <w:jc w:val="center"/>
        <w:rPr>
          <w:rFonts w:ascii="黑体;SimHei" w:hAnsi="黑体;SimHei" w:eastAsia="黑体;SimHei" w:hint="eastAsia"/>
          <w:b/>
        </w:rPr>
      </w:pPr>
      <w:r>
        <w:rPr>
          <w:rFonts w:eastAsia="黑体;SimHei" w:hint="eastAsia" w:ascii="黑体;SimHei" w:hAnsi="黑体;SimHei"/>
          <w:b/>
        </w:rPr>
      </w:r>
    </w:p>
    <w:p>
      <w:pPr>
        <w:pStyle w:val="BodyTextIndent"/>
        <w:spacing w:lineRule="exact" w:line="578"/>
        <w:rPr/>
      </w:pPr>
      <w:r>
        <w:rPr>
          <w:rFonts w:ascii="黑体;SimHei" w:hAnsi="黑体;SimHei" w:hint="eastAsia" w:eastAsia="黑体;SimHei"/>
        </w:rPr>
        <w:t>第三十条</w:t>
      </w:r>
      <w:r>
        <w:rPr>
          <w:rFonts w:hint="eastAsia"/>
        </w:rPr>
        <w:t>　违反本条例有关规定，挤占农业投资，造成农业投资损失浪费及严重影响经济效益的，由其上级主管机关或监察机关对其主要责任者给予行政处分。</w:t>
      </w:r>
    </w:p>
    <w:p>
      <w:pPr>
        <w:pStyle w:val="BodyTextIndent"/>
        <w:spacing w:lineRule="exact" w:line="578"/>
        <w:rPr/>
      </w:pPr>
      <w:r>
        <w:rPr>
          <w:rFonts w:ascii="黑体;SimHei" w:hAnsi="黑体;SimHei" w:hint="eastAsia" w:eastAsia="黑体;SimHei"/>
        </w:rPr>
        <w:t>第三十一条</w:t>
      </w:r>
      <w:r>
        <w:rPr>
          <w:rFonts w:hint="eastAsia"/>
        </w:rPr>
        <w:t>　违反本条例有关规定，挪用、贪污农业投资的，由其所在单位或者上级主管机关视情节给予行政处分；构成犯罪的，由司法机关依法追究刑事责任。</w:t>
      </w:r>
    </w:p>
    <w:p>
      <w:pPr>
        <w:pStyle w:val="BodyTextIndent"/>
        <w:spacing w:lineRule="exact" w:line="578"/>
        <w:rPr>
          <w:rFonts w:hint="eastAsia"/>
        </w:rPr>
      </w:pPr>
      <w:r>
        <w:rPr>
          <w:rFonts w:hint="eastAsia"/>
        </w:rPr>
      </w:r>
    </w:p>
    <w:p>
      <w:pPr>
        <w:pStyle w:val="BodyTextIndent"/>
        <w:spacing w:lineRule="exact" w:line="578"/>
        <w:ind w:firstLineChars="0" w:firstLine="0" w:endChars="0" w:end="0"/>
        <w:jc w:val="center"/>
        <w:rPr>
          <w:rFonts w:ascii="黑体;SimHei" w:hAnsi="黑体;SimHei" w:eastAsia="黑体;SimHei" w:hint="eastAsia"/>
        </w:rPr>
      </w:pPr>
      <w:r>
        <w:rPr>
          <w:rFonts w:ascii="黑体;SimHei" w:hAnsi="黑体;SimHei" w:hint="eastAsia" w:eastAsia="黑体;SimHei"/>
        </w:rPr>
        <w:t>第七章　附则</w:t>
      </w:r>
    </w:p>
    <w:p>
      <w:pPr>
        <w:pStyle w:val="BodyTextIndent"/>
        <w:spacing w:lineRule="exact" w:line="578"/>
        <w:ind w:firstLineChars="0" w:firstLine="0" w:endChars="0" w:end="0"/>
        <w:jc w:val="center"/>
        <w:rPr>
          <w:rFonts w:ascii="黑体;SimHei" w:hAnsi="黑体;SimHei" w:eastAsia="黑体;SimHei" w:hint="eastAsia"/>
        </w:rPr>
      </w:pPr>
      <w:r>
        <w:rPr>
          <w:rFonts w:eastAsia="黑体;SimHei" w:hint="eastAsia" w:ascii="黑体;SimHei" w:hAnsi="黑体;SimHei"/>
        </w:rPr>
      </w:r>
    </w:p>
    <w:p>
      <w:pPr>
        <w:pStyle w:val="BodyTextIndent"/>
        <w:spacing w:lineRule="exact" w:line="578"/>
        <w:rPr/>
      </w:pPr>
      <w:r>
        <w:rPr>
          <w:rFonts w:ascii="黑体;SimHei" w:hAnsi="黑体;SimHei" w:hint="eastAsia" w:eastAsia="黑体;SimHei"/>
        </w:rPr>
        <w:t>第三十二条</w:t>
      </w:r>
      <w:r>
        <w:rPr>
          <w:rFonts w:hint="eastAsia"/>
        </w:rPr>
        <w:t>　本条例自公布之日起施行。</w:t>
      </w:r>
    </w:p>
    <w:p>
      <w:pPr>
        <w:pStyle w:val="BodyTextIndent"/>
        <w:spacing w:lineRule="exact" w:line="578"/>
        <w:rPr>
          <w:rFonts w:hint="eastAsia"/>
        </w:rPr>
      </w:pPr>
      <w:r>
        <w:rPr>
          <w:rFonts w:hint="eastAsia"/>
        </w:rPr>
      </w:r>
    </w:p>
    <w:p>
      <w:pPr>
        <w:pStyle w:val="BodyTextIndent"/>
        <w:spacing w:lineRule="exact" w:line="578"/>
        <w:ind w:firstLineChars="0" w:firstLine="0" w:endChars="0" w:end="0"/>
        <w:rPr>
          <w:rFonts w:hint="eastAsia"/>
        </w:rPr>
      </w:pPr>
      <w:r>
        <w:rPr>
          <w:rFonts w:hint="eastAsia"/>
        </w:rPr>
      </w:r>
    </w:p>
    <w:p>
      <w:pPr>
        <w:pStyle w:val="BodyTextIndent"/>
        <w:spacing w:lineRule="exact" w:line="578"/>
        <w:ind w:firstLineChars="0" w:firstLine="0" w:endChars="0" w:end="0"/>
        <w:rPr>
          <w:rFonts w:hint="eastAsia"/>
        </w:rPr>
      </w:pPr>
      <w:r>
        <w:rPr>
          <w:rFonts w:hint="eastAsia"/>
        </w:rPr>
      </w:r>
    </w:p>
    <w:p>
      <w:pPr>
        <w:pStyle w:val="BodyTextIndent"/>
        <w:spacing w:lineRule="exact" w:line="578"/>
        <w:ind w:firstLineChars="0" w:firstLine="0" w:endChars="0" w:end="0"/>
        <w:rPr>
          <w:rFonts w:hint="eastAsia"/>
        </w:rPr>
      </w:pPr>
      <w:r>
        <w:rPr>
          <w:rFonts w:hint="eastAsia"/>
        </w:rPr>
      </w:r>
    </w:p>
    <w:p>
      <w:pPr>
        <w:pStyle w:val="BodyTextIndent"/>
        <w:spacing w:lineRule="exact" w:line="578"/>
        <w:ind w:firstLineChars="0" w:firstLine="0" w:endChars="0" w:end="0"/>
        <w:rPr>
          <w:rFonts w:hint="eastAsia"/>
        </w:rPr>
      </w:pPr>
      <w:r>
        <w:rPr>
          <w:rFonts w:hint="eastAsia"/>
        </w:rPr>
      </w:r>
    </w:p>
    <w:p>
      <w:pPr>
        <w:pStyle w:val="BodyTextIndent"/>
        <w:spacing w:lineRule="exact" w:line="578"/>
        <w:ind w:firstLineChars="0" w:firstLine="0" w:endChars="0" w:end="0"/>
        <w:rPr>
          <w:rFonts w:hint="eastAsia"/>
        </w:rPr>
      </w:pPr>
      <w:r>
        <w:rPr>
          <w:rFonts w:hint="eastAsia"/>
        </w:rPr>
      </w:r>
    </w:p>
    <w:p>
      <w:pPr>
        <w:pStyle w:val="BodyTextIndent"/>
        <w:spacing w:lineRule="exact" w:line="578"/>
        <w:ind w:firstLineChars="0" w:firstLine="0" w:endChars="0" w:end="0"/>
        <w:rPr>
          <w:rFonts w:hint="eastAsia"/>
        </w:rPr>
      </w:pPr>
      <w:r>
        <w:rPr>
          <w:rFonts w:hint="eastAsia"/>
        </w:rPr>
      </w:r>
    </w:p>
    <w:p>
      <w:pPr>
        <w:pStyle w:val="Normal"/>
        <w:spacing w:lineRule="exact" w:line="578"/>
        <w:rPr>
          <w:rFonts w:hint="eastAsia"/>
        </w:rPr>
      </w:pPr>
      <w:r>
        <w:rPr>
          <w:rFonts w:hint="eastAsia"/>
        </w:rPr>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黑体">
    <w:altName w:val="SimHei"/>
    <w:charset w:val="86"/>
    <w:family w:val="auto"/>
    <w:pitch w:val="variable"/>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kern w:val="2"/>
      <w:sz w:val="18"/>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BodyTextIndent">
    <w:name w:val="Body Text Indent"/>
    <w:basedOn w:val="Normal"/>
    <w:pPr>
      <w:ind w:firstLineChars="200" w:startChars="0" w:start="0" w:endChars="0" w:end="0"/>
    </w:pPr>
    <w:rPr>
      <w:rFonts w:eastAsia="仿宋_GB2312"/>
      <w:sz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29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2016-12-27T11:10:00Z</dcterms:created>
  <dc:creator>阴埝埝</dc:creator>
  <dc:description/>
  <cp:keywords/>
  <dc:language>en-US</dc:language>
  <cp:lastModifiedBy>番茄花园</cp:lastModifiedBy>
  <cp:lastPrinted>2016-12-28T15:14:00Z</cp:lastPrinted>
  <dcterms:modified xsi:type="dcterms:W3CDTF">2017-02-24T10:33:00Z</dcterms:modified>
  <cp:revision>13</cp:revision>
  <dc:subject/>
  <dc:title>山西省农业投资条例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